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南康区市场监督管理局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开展缓解体力疲劳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功能保健食品风险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隐患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排查工作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</w:pP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根据《省市场监管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办公室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关于开展缓解体力疲劳功能保健食品风险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隐患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排查工作的通知》（赣市监办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特食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[202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]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6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号）文件的部署要求，我局组织各分局认真开展了缓解体力疲劳功能保健食品风险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隐患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排查工作。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现将排查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工作情况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总结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pacing w:val="-1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bidi="ar-SA"/>
        </w:rPr>
        <w:t>一、检查情况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南康区辖区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取得生产许可证的缓解体力疲劳功能生产企业数量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0家，取得食品经营许可证缓解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体力疲劳功能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保健食品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经营者数量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253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家。截至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月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19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日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，我局共出动执法人员374人次，排查相关食品经营户数量187家，发现风险问题数量21个，主要问题均为未严格做到专区专柜销售保健食品、未张贴警示标语，已当场责令经营户整改到位，未发现虚假夸大宣传等其它违法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黑体" w:hAnsi="黑体" w:eastAsia="黑体" w:cs="黑体"/>
          <w:spacing w:val="-10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spacing w:val="-10"/>
          <w:sz w:val="32"/>
          <w:szCs w:val="32"/>
          <w:lang w:bidi="ar-SA"/>
        </w:rPr>
        <w:t>二、主要措施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</w:pPr>
      <w:r>
        <w:rPr>
          <w:rFonts w:hint="eastAsia" w:ascii="楷体" w:hAnsi="楷体" w:eastAsia="楷体" w:cs="楷体"/>
          <w:spacing w:val="-10"/>
          <w:sz w:val="32"/>
          <w:szCs w:val="32"/>
          <w:lang w:bidi="ar-SA"/>
        </w:rPr>
        <w:t>（一）高度重视，认真部署落实。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我局认真按照省局、市局相关文件的要求，迅速进行了学习和部署。组织相关分局，对南康区辖区销售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缓解体力疲劳功能保健食品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的经营户进行了拉网式排查。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-10"/>
          <w:sz w:val="32"/>
          <w:szCs w:val="32"/>
          <w:lang w:bidi="ar-SA"/>
        </w:rPr>
        <w:t>（二）开展监督检查，排查安全隐患。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我局按照文件要求，针对保健食品经营户经营资质情况、进货查验情况、销售过程控制情况、宣传情况等重点要求，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加大对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保健食品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经营主体的监督检查力度，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结合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双随机一公开检查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，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对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辖区内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相关经营主体做到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尽量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全覆盖。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以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商场、超市、药店、母婴店等为重点，重点关注城乡结合部、农村药店、农村超市及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成人保健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用品店、会销等重点场所。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督促经营户严格落实好食品经营管理、进货查验、索证索票、食品安全自查等义务，压实食品安全主体责任。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pacing w:val="-10"/>
          <w:sz w:val="32"/>
          <w:szCs w:val="32"/>
          <w:lang w:bidi="ar-SA"/>
        </w:rPr>
        <w:t>(三)加大处罚力度，严查违法违规行为。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对监督检查过程中发现的违法违规行为, 对情节轻微的，下发《责令改正通知书》限期整改到位；对情节严重的，及时移送赣州市市场监管执法稽查局南康分局依法进行严厉查处，绝不姑息；对涉嫌犯罪，及时移送公安机关进行处理。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eastAsia="黑体"/>
          <w:sz w:val="32"/>
          <w:szCs w:val="32"/>
        </w:rPr>
        <w:t>三、存在问题及下一步工作打算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</w:pP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下一步，我局将继续加强日常监管，组织好分局人员继续开展好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bidi="ar-SA"/>
        </w:rPr>
        <w:t>缓解体力疲劳功能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保健食品风险排查工作，督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促经营户严格落实好食品经营管理、进货查验、索证索票、食品安全自查等义务，压实食品安全主体责任，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切实保障好人民群众“舌尖上的安全”。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80" w:lineRule="exact"/>
        <w:ind w:firstLine="803" w:firstLineChars="251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5100" w:firstLineChars="1700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</w:pP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202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3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年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9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月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val="en-US" w:eastAsia="zh-CN" w:bidi="ar-SA"/>
        </w:rPr>
        <w:t>19</w:t>
      </w:r>
      <w:r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after="0" w:afterLines="0" w:line="58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" w:hAnsi="仿宋" w:eastAsia="仿宋" w:cs="Times New Roman"/>
          <w:spacing w:val="-10"/>
          <w:sz w:val="32"/>
          <w:szCs w:val="32"/>
          <w:lang w:eastAsia="zh-CN" w:bidi="ar-SA"/>
        </w:rPr>
      </w:pPr>
    </w:p>
    <w:sectPr>
      <w:pgSz w:w="11906" w:h="16838"/>
      <w:pgMar w:top="2098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Y2NhYmYyOWNkMTAzNmVjOGZjNzExYWY2NGY5OGEifQ=="/>
  </w:docVars>
  <w:rsids>
    <w:rsidRoot w:val="334475B8"/>
    <w:rsid w:val="2C276C8D"/>
    <w:rsid w:val="334475B8"/>
    <w:rsid w:val="3CE358B4"/>
    <w:rsid w:val="48811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2"/>
    <w:basedOn w:val="1"/>
    <w:qFormat/>
    <w:uiPriority w:val="0"/>
    <w:pPr>
      <w:spacing w:after="120" w:afterLines="0" w:line="480" w:lineRule="auto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2023-09-19T03:31:00Z</dcterms:created>
  <dc:creator>Administrator</dc:creator>
  <cp:lastModifiedBy>Administrator</cp:lastModifiedBy>
  <dcterms:modified xsi:type="dcterms:W3CDTF">2023-09-19T09:52:33Z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889FCB22DC154EEDBD3E5AF2B8849D07_11</vt:lpwstr>
  </property>
</Properties>
</file>