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D6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187EFD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23FD8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071A04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0017C1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0CD54D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p>
    <w:p w14:paraId="6343B2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 w:cs="仿宋"/>
          <w:sz w:val="32"/>
          <w:szCs w:val="32"/>
          <w:lang w:eastAsia="zh-CN"/>
        </w:rPr>
      </w:pPr>
      <w:bookmarkStart w:id="0" w:name="_GoBack"/>
    </w:p>
    <w:p w14:paraId="2D5DBB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 w:cs="仿宋"/>
          <w:sz w:val="32"/>
          <w:szCs w:val="32"/>
          <w:lang w:eastAsia="zh-CN"/>
        </w:rPr>
      </w:pPr>
    </w:p>
    <w:p w14:paraId="6CF55A92">
      <w:pPr>
        <w:widowControl/>
        <w:spacing w:line="520" w:lineRule="exact"/>
        <w:jc w:val="center"/>
        <w:rPr>
          <w:rFonts w:ascii="仿宋" w:hAnsi="仿宋" w:eastAsia="仿宋"/>
          <w:sz w:val="32"/>
          <w:szCs w:val="32"/>
        </w:rPr>
      </w:pPr>
      <w:r>
        <w:rPr>
          <w:rFonts w:hint="eastAsia" w:ascii="仿宋" w:hAnsi="仿宋" w:eastAsia="仿宋" w:cs="仿宋"/>
          <w:sz w:val="32"/>
          <w:szCs w:val="32"/>
        </w:rPr>
        <w:t>康府办字〔</w:t>
      </w:r>
      <w:r>
        <w:rPr>
          <w:rFonts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号</w:t>
      </w:r>
    </w:p>
    <w:p w14:paraId="0C199FF9">
      <w:pPr>
        <w:widowControl/>
        <w:spacing w:line="520" w:lineRule="exact"/>
        <w:jc w:val="center"/>
        <w:rPr>
          <w:rFonts w:ascii="仿宋" w:hAnsi="仿宋" w:eastAsia="仿宋"/>
        </w:rPr>
      </w:pPr>
    </w:p>
    <w:p w14:paraId="76F477AC">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赣州市南康区集体土地征收</w:t>
      </w:r>
    </w:p>
    <w:p w14:paraId="7DC1B2C1">
      <w:pPr>
        <w:spacing w:line="5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补偿安置方案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2B7F63DD">
      <w:pPr>
        <w:spacing w:line="520" w:lineRule="exact"/>
        <w:ind w:firstLine="880" w:firstLineChars="200"/>
        <w:rPr>
          <w:rFonts w:ascii="方正小标宋简体" w:hAnsi="方正小标宋简体" w:eastAsia="方正小标宋简体"/>
          <w:sz w:val="44"/>
          <w:szCs w:val="44"/>
        </w:rPr>
      </w:pPr>
    </w:p>
    <w:p w14:paraId="2A0A5D2A">
      <w:pPr>
        <w:keepNext w:val="0"/>
        <w:keepLines w:val="0"/>
        <w:pageBreakBefore w:val="0"/>
        <w:widowControl w:val="0"/>
        <w:kinsoku/>
        <w:wordWrap/>
        <w:overflowPunct/>
        <w:topLinePunct w:val="0"/>
        <w:bidi w:val="0"/>
        <w:adjustRightInd/>
        <w:snapToGrid/>
        <w:spacing w:line="520" w:lineRule="exact"/>
        <w:textAlignment w:val="auto"/>
        <w:rPr>
          <w:rFonts w:ascii="仿宋" w:hAnsi="仿宋" w:eastAsia="仿宋"/>
          <w:sz w:val="32"/>
          <w:szCs w:val="32"/>
        </w:rPr>
      </w:pPr>
      <w:r>
        <w:rPr>
          <w:rFonts w:hint="eastAsia" w:ascii="仿宋" w:hAnsi="仿宋" w:eastAsia="仿宋" w:cs="仿宋"/>
          <w:sz w:val="32"/>
          <w:szCs w:val="32"/>
        </w:rPr>
        <w:t>各乡（镇）人民政府，各街道办事处，区政府有关部门，区属、驻区有关单位：</w:t>
      </w:r>
    </w:p>
    <w:p w14:paraId="4976AB86">
      <w:pPr>
        <w:keepNext w:val="0"/>
        <w:keepLines w:val="0"/>
        <w:pageBreakBefore w:val="0"/>
        <w:widowControl w:val="0"/>
        <w:kinsoku/>
        <w:wordWrap/>
        <w:overflowPunct/>
        <w:topLinePunct w:val="0"/>
        <w:bidi w:val="0"/>
        <w:adjustRightInd/>
        <w:snapToGrid/>
        <w:spacing w:line="520" w:lineRule="exact"/>
        <w:ind w:firstLine="566" w:firstLineChars="177"/>
        <w:jc w:val="left"/>
        <w:textAlignment w:val="auto"/>
        <w:rPr>
          <w:rFonts w:ascii="仿宋" w:hAnsi="仿宋" w:eastAsia="仿宋"/>
          <w:sz w:val="32"/>
          <w:szCs w:val="32"/>
        </w:rPr>
      </w:pPr>
      <w:r>
        <w:rPr>
          <w:rFonts w:hint="eastAsia" w:ascii="仿宋" w:hAnsi="仿宋" w:eastAsia="仿宋" w:cs="仿宋"/>
          <w:sz w:val="32"/>
          <w:szCs w:val="32"/>
        </w:rPr>
        <w:t>现</w:t>
      </w:r>
      <w:r>
        <w:rPr>
          <w:rFonts w:hint="eastAsia" w:ascii="仿宋" w:hAnsi="仿宋" w:eastAsia="仿宋" w:cs="仿宋"/>
          <w:sz w:val="32"/>
          <w:szCs w:val="32"/>
          <w:lang w:val="en-US" w:eastAsia="zh-CN"/>
        </w:rPr>
        <w:t>将</w:t>
      </w:r>
      <w:r>
        <w:rPr>
          <w:rFonts w:hint="eastAsia" w:ascii="仿宋" w:hAnsi="仿宋" w:eastAsia="仿宋" w:cs="仿宋"/>
          <w:sz w:val="32"/>
          <w:szCs w:val="32"/>
        </w:rPr>
        <w:t>《赣州市南康区集体土地征收补偿安置方案》印发给你们，请认真</w:t>
      </w:r>
      <w:r>
        <w:rPr>
          <w:rFonts w:hint="eastAsia" w:ascii="仿宋" w:hAnsi="仿宋" w:eastAsia="仿宋" w:cs="仿宋"/>
          <w:sz w:val="32"/>
          <w:szCs w:val="32"/>
          <w:lang w:val="en-US" w:eastAsia="zh-CN"/>
        </w:rPr>
        <w:t>抓好贯彻落实</w:t>
      </w:r>
      <w:r>
        <w:rPr>
          <w:rFonts w:hint="eastAsia" w:ascii="仿宋" w:hAnsi="仿宋" w:eastAsia="仿宋" w:cs="仿宋"/>
          <w:sz w:val="32"/>
          <w:szCs w:val="32"/>
        </w:rPr>
        <w:t>。</w:t>
      </w:r>
    </w:p>
    <w:p w14:paraId="01078F71">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ascii="仿宋" w:hAnsi="仿宋" w:eastAsia="仿宋"/>
          <w:kern w:val="0"/>
          <w:sz w:val="32"/>
          <w:szCs w:val="32"/>
        </w:rPr>
      </w:pPr>
    </w:p>
    <w:p w14:paraId="06447206">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ascii="仿宋" w:hAnsi="仿宋" w:eastAsia="仿宋"/>
          <w:kern w:val="0"/>
          <w:sz w:val="32"/>
          <w:szCs w:val="32"/>
        </w:rPr>
      </w:pPr>
    </w:p>
    <w:p w14:paraId="37B5CC17">
      <w:pPr>
        <w:keepNext w:val="0"/>
        <w:keepLines w:val="0"/>
        <w:pageBreakBefore w:val="0"/>
        <w:widowControl w:val="0"/>
        <w:kinsoku/>
        <w:wordWrap/>
        <w:overflowPunct/>
        <w:topLinePunct w:val="0"/>
        <w:bidi w:val="0"/>
        <w:adjustRightInd/>
        <w:snapToGrid/>
        <w:spacing w:line="520" w:lineRule="exact"/>
        <w:ind w:right="23" w:rightChars="11" w:firstLine="4960" w:firstLineChars="1550"/>
        <w:textAlignment w:val="auto"/>
        <w:rPr>
          <w:rFonts w:ascii="仿宋" w:hAnsi="仿宋" w:eastAsia="仿宋"/>
          <w:sz w:val="32"/>
          <w:szCs w:val="32"/>
        </w:rPr>
      </w:pPr>
      <w:r>
        <w:rPr>
          <w:rFonts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14:paraId="4DE4B47C">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ascii="仿宋" w:hAnsi="仿宋" w:eastAsia="仿宋"/>
          <w:kern w:val="0"/>
          <w:sz w:val="32"/>
          <w:szCs w:val="32"/>
        </w:rPr>
      </w:pPr>
    </w:p>
    <w:p w14:paraId="50247489">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此件主动公开</w:t>
      </w:r>
      <w:r>
        <w:rPr>
          <w:rFonts w:hint="eastAsia" w:ascii="楷体" w:hAnsi="楷体" w:eastAsia="楷体" w:cs="楷体"/>
          <w:kern w:val="0"/>
          <w:sz w:val="32"/>
          <w:szCs w:val="32"/>
          <w:lang w:eastAsia="zh-CN"/>
        </w:rPr>
        <w:t>）</w:t>
      </w:r>
    </w:p>
    <w:p w14:paraId="2BE3E8EB">
      <w:pPr>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br w:type="page"/>
      </w:r>
    </w:p>
    <w:p w14:paraId="7A568452">
      <w:pPr>
        <w:keepNext w:val="0"/>
        <w:keepLines w:val="0"/>
        <w:pageBreakBefore w:val="0"/>
        <w:widowControl w:val="0"/>
        <w:kinsoku/>
        <w:wordWrap/>
        <w:overflowPunct/>
        <w:topLinePunct w:val="0"/>
        <w:autoSpaceDE/>
        <w:autoSpaceDN/>
        <w:bidi w:val="0"/>
        <w:adjustRightInd/>
        <w:snapToGrid/>
        <w:spacing w:before="313" w:beforeLines="10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赣州市南康区集体土地征收补偿安置方案</w:t>
      </w:r>
    </w:p>
    <w:p w14:paraId="5BD7F67D">
      <w:pPr>
        <w:pStyle w:val="7"/>
        <w:keepNext w:val="0"/>
        <w:keepLines w:val="0"/>
        <w:pageBreakBefore w:val="0"/>
        <w:widowControl w:val="0"/>
        <w:kinsoku/>
        <w:wordWrap/>
        <w:overflowPunct/>
        <w:topLinePunct w:val="0"/>
        <w:bidi w:val="0"/>
        <w:adjustRightInd/>
        <w:snapToGrid/>
        <w:spacing w:line="520" w:lineRule="exact"/>
        <w:textAlignment w:val="auto"/>
        <w:rPr>
          <w:rFonts w:hint="eastAsia"/>
          <w:lang w:eastAsia="zh-CN"/>
        </w:rPr>
      </w:pPr>
    </w:p>
    <w:p w14:paraId="7671A22B">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为规范</w:t>
      </w:r>
      <w:r>
        <w:rPr>
          <w:rFonts w:hint="eastAsia" w:ascii="仿宋" w:hAnsi="仿宋" w:eastAsia="仿宋" w:cs="仿宋"/>
          <w:b w:val="0"/>
          <w:bCs w:val="0"/>
          <w:color w:val="auto"/>
          <w:kern w:val="0"/>
          <w:sz w:val="32"/>
          <w:szCs w:val="32"/>
          <w:lang w:val="en-US" w:eastAsia="zh-CN"/>
        </w:rPr>
        <w:t>我区</w:t>
      </w:r>
      <w:r>
        <w:rPr>
          <w:rFonts w:hint="eastAsia" w:ascii="仿宋" w:hAnsi="仿宋" w:eastAsia="仿宋" w:cs="仿宋"/>
          <w:b w:val="0"/>
          <w:bCs w:val="0"/>
          <w:color w:val="auto"/>
          <w:kern w:val="0"/>
          <w:sz w:val="32"/>
          <w:szCs w:val="32"/>
        </w:rPr>
        <w:t>集体土地征收补偿安置</w:t>
      </w:r>
      <w:r>
        <w:rPr>
          <w:rFonts w:hint="eastAsia" w:ascii="仿宋" w:hAnsi="仿宋" w:eastAsia="仿宋" w:cs="仿宋"/>
          <w:b w:val="0"/>
          <w:bCs w:val="0"/>
          <w:color w:val="auto"/>
          <w:kern w:val="0"/>
          <w:sz w:val="32"/>
          <w:szCs w:val="32"/>
          <w:lang w:val="en-US" w:eastAsia="zh-CN"/>
        </w:rPr>
        <w:t>工作</w:t>
      </w:r>
      <w:r>
        <w:rPr>
          <w:rFonts w:hint="eastAsia" w:ascii="仿宋" w:hAnsi="仿宋" w:eastAsia="仿宋" w:cs="仿宋"/>
          <w:b w:val="0"/>
          <w:bCs w:val="0"/>
          <w:color w:val="auto"/>
          <w:kern w:val="0"/>
          <w:sz w:val="32"/>
          <w:szCs w:val="32"/>
        </w:rPr>
        <w:t>，维护被征地农村集体经济组织、农村村民和其他权利人的合法权益，根据《中华人民共和国土地管理法》《中华人民共和国土地管理法实施条例》《江西省实施〈中华人民共和国土地管理法〉办法》《江西省征收土地管理办法》</w:t>
      </w:r>
      <w:r>
        <w:rPr>
          <w:rFonts w:hint="eastAsia" w:ascii="仿宋" w:hAnsi="仿宋" w:eastAsia="仿宋" w:cs="仿宋"/>
          <w:b w:val="0"/>
          <w:bCs w:val="0"/>
          <w:color w:val="auto"/>
          <w:kern w:val="0"/>
          <w:sz w:val="32"/>
          <w:szCs w:val="32"/>
          <w:lang w:val="en-US" w:eastAsia="zh-CN"/>
        </w:rPr>
        <w:t>和《赣州市中心城区集体土地征收补偿安置办法》</w:t>
      </w:r>
      <w:r>
        <w:rPr>
          <w:rFonts w:hint="eastAsia" w:ascii="仿宋" w:hAnsi="仿宋" w:eastAsia="仿宋" w:cs="仿宋"/>
          <w:b w:val="0"/>
          <w:bCs w:val="0"/>
          <w:color w:val="auto"/>
          <w:kern w:val="0"/>
          <w:sz w:val="32"/>
          <w:szCs w:val="32"/>
        </w:rPr>
        <w:t>等法律、法规的规定，结合</w:t>
      </w:r>
      <w:r>
        <w:rPr>
          <w:rFonts w:hint="eastAsia" w:ascii="仿宋" w:hAnsi="仿宋" w:eastAsia="仿宋" w:cs="仿宋"/>
          <w:b w:val="0"/>
          <w:bCs w:val="0"/>
          <w:color w:val="auto"/>
          <w:kern w:val="0"/>
          <w:sz w:val="32"/>
          <w:szCs w:val="32"/>
          <w:lang w:val="en-US" w:eastAsia="zh-CN"/>
        </w:rPr>
        <w:t>我</w:t>
      </w:r>
      <w:r>
        <w:rPr>
          <w:rFonts w:hint="eastAsia" w:ascii="仿宋" w:hAnsi="仿宋" w:eastAsia="仿宋" w:cs="仿宋"/>
          <w:b w:val="0"/>
          <w:bCs w:val="0"/>
          <w:color w:val="auto"/>
          <w:kern w:val="0"/>
          <w:sz w:val="32"/>
          <w:szCs w:val="32"/>
        </w:rPr>
        <w:t>区实际，制定本</w:t>
      </w:r>
      <w:r>
        <w:rPr>
          <w:rFonts w:hint="eastAsia" w:ascii="仿宋" w:hAnsi="仿宋" w:eastAsia="仿宋" w:cs="仿宋"/>
          <w:b w:val="0"/>
          <w:bCs w:val="0"/>
          <w:color w:val="auto"/>
          <w:kern w:val="0"/>
          <w:sz w:val="32"/>
          <w:szCs w:val="32"/>
          <w:lang w:val="en-US" w:eastAsia="zh-CN"/>
        </w:rPr>
        <w:t>方案</w:t>
      </w:r>
      <w:r>
        <w:rPr>
          <w:rFonts w:hint="eastAsia" w:ascii="仿宋" w:hAnsi="仿宋" w:eastAsia="仿宋" w:cs="仿宋"/>
          <w:b w:val="0"/>
          <w:bCs w:val="0"/>
          <w:color w:val="auto"/>
          <w:kern w:val="0"/>
          <w:sz w:val="32"/>
          <w:szCs w:val="32"/>
        </w:rPr>
        <w:t>。</w:t>
      </w:r>
    </w:p>
    <w:p w14:paraId="5C85058B">
      <w:pPr>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一、适用范围</w:t>
      </w:r>
    </w:p>
    <w:p w14:paraId="5310E02D">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南康区</w:t>
      </w:r>
      <w:r>
        <w:rPr>
          <w:rFonts w:hint="eastAsia" w:ascii="仿宋" w:hAnsi="仿宋" w:eastAsia="仿宋" w:cs="仿宋"/>
          <w:b w:val="0"/>
          <w:bCs w:val="0"/>
          <w:color w:val="auto"/>
          <w:kern w:val="0"/>
          <w:sz w:val="32"/>
          <w:szCs w:val="32"/>
          <w:lang w:val="en-US" w:eastAsia="zh-CN"/>
        </w:rPr>
        <w:t>实际管辖（即不含划入赣州经济技术开发区的凤岗镇、三江镇全域，唐江镇章良村、村尾村、横江村3个村，太窝镇太窝村、洋田村、龙潭村、高山村、范塘村、中边村6个村</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区域</w:t>
      </w:r>
      <w:r>
        <w:rPr>
          <w:rFonts w:hint="eastAsia" w:ascii="仿宋" w:hAnsi="仿宋" w:eastAsia="仿宋" w:cs="仿宋"/>
          <w:b w:val="0"/>
          <w:bCs w:val="0"/>
          <w:color w:val="auto"/>
          <w:kern w:val="0"/>
          <w:sz w:val="32"/>
          <w:szCs w:val="32"/>
        </w:rPr>
        <w:t>内</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征收集体土地、其他地上附着物</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青苗等进行补偿安置的，适用本</w:t>
      </w:r>
      <w:r>
        <w:rPr>
          <w:rFonts w:hint="eastAsia" w:ascii="仿宋" w:hAnsi="仿宋" w:eastAsia="仿宋" w:cs="仿宋"/>
          <w:b w:val="0"/>
          <w:bCs w:val="0"/>
          <w:color w:val="auto"/>
          <w:kern w:val="0"/>
          <w:sz w:val="32"/>
          <w:szCs w:val="32"/>
          <w:lang w:val="en-US" w:eastAsia="zh-CN"/>
        </w:rPr>
        <w:t>方案</w:t>
      </w:r>
      <w:r>
        <w:rPr>
          <w:rFonts w:hint="eastAsia" w:ascii="仿宋" w:hAnsi="仿宋" w:eastAsia="仿宋" w:cs="仿宋"/>
          <w:b w:val="0"/>
          <w:bCs w:val="0"/>
          <w:color w:val="auto"/>
          <w:kern w:val="0"/>
          <w:sz w:val="32"/>
          <w:szCs w:val="32"/>
        </w:rPr>
        <w:t>。</w:t>
      </w:r>
    </w:p>
    <w:p w14:paraId="6421AC2E">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国家和省重点交通、能源、水利等大型基础设施项目征地补偿安置另有规定的，从其规定。</w:t>
      </w:r>
    </w:p>
    <w:p w14:paraId="34FD12FB">
      <w:pPr>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二、责任主体及职责</w:t>
      </w:r>
    </w:p>
    <w:p w14:paraId="34B0B159">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（一）</w:t>
      </w:r>
      <w:r>
        <w:rPr>
          <w:rFonts w:hint="eastAsia" w:ascii="楷体" w:hAnsi="楷体" w:eastAsia="楷体" w:cs="楷体"/>
          <w:b w:val="0"/>
          <w:bCs w:val="0"/>
          <w:sz w:val="32"/>
          <w:szCs w:val="32"/>
          <w:lang w:val="en-US" w:eastAsia="zh-CN"/>
        </w:rPr>
        <w:t>责任主体</w:t>
      </w:r>
    </w:p>
    <w:p w14:paraId="3080C47C">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南康区人民政府是集体土地征收补偿安置的责任主体，依法负责组织实施本辖区内的集体土地征收补偿安置工作。</w:t>
      </w:r>
    </w:p>
    <w:p w14:paraId="546C71B1">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（二）</w:t>
      </w:r>
      <w:r>
        <w:rPr>
          <w:rFonts w:hint="eastAsia" w:ascii="楷体" w:hAnsi="楷体" w:eastAsia="楷体" w:cs="楷体"/>
          <w:b w:val="0"/>
          <w:bCs w:val="0"/>
          <w:sz w:val="32"/>
          <w:szCs w:val="32"/>
          <w:lang w:val="en-US" w:eastAsia="zh-CN"/>
        </w:rPr>
        <w:t>部门职责</w:t>
      </w:r>
    </w:p>
    <w:p w14:paraId="6DB95DC6">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区自然资源分局负责赣州市南康区集体土地征收补偿安置的业务指导和服务等工作。</w:t>
      </w:r>
    </w:p>
    <w:p w14:paraId="3C6AEE4D">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区发展和改革、财政、住房和城乡建设、农业农村、市场监督管理、人力资源和社会保障、水利、交通、司法行政</w:t>
      </w:r>
      <w:bookmarkEnd w:id="0"/>
      <w:r>
        <w:rPr>
          <w:rFonts w:hint="eastAsia" w:ascii="仿宋" w:hAnsi="仿宋" w:eastAsia="仿宋" w:cs="仿宋"/>
          <w:b w:val="0"/>
          <w:bCs w:val="0"/>
          <w:color w:val="auto"/>
          <w:kern w:val="0"/>
          <w:sz w:val="32"/>
          <w:szCs w:val="32"/>
          <w:lang w:val="en-US" w:eastAsia="zh-CN"/>
        </w:rPr>
        <w:t>、林业、民政、审计、公安、税务、城市管理、行政审批、住房保障安置服务中心等部门应当按照各自职责，协同做好赣州市南康区集体土地征收补偿安置相关工作。</w:t>
      </w:r>
    </w:p>
    <w:p w14:paraId="2C5E1BA2">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（三）</w:t>
      </w:r>
      <w:r>
        <w:rPr>
          <w:rFonts w:hint="eastAsia" w:ascii="楷体" w:hAnsi="楷体" w:eastAsia="楷体" w:cs="楷体"/>
          <w:b w:val="0"/>
          <w:bCs w:val="0"/>
          <w:sz w:val="32"/>
          <w:szCs w:val="32"/>
          <w:lang w:val="en-US" w:eastAsia="zh-CN"/>
        </w:rPr>
        <w:t>属地责任</w:t>
      </w:r>
    </w:p>
    <w:p w14:paraId="31A0209F">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乡（镇）人民政府、街道办事处按照区人民政府的统一安排，做好征收土地的组织实施、政策宣传、补偿安置落实、土地交付、矛盾纠纷化解、档案管理等具体工作。</w:t>
      </w:r>
    </w:p>
    <w:p w14:paraId="56E739AA">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农村集体经济组织、村民委员会、村民小组应当配合做好征收土地工作。</w:t>
      </w:r>
    </w:p>
    <w:p w14:paraId="4B8DB67D">
      <w:pPr>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三、补偿安置原则</w:t>
      </w:r>
    </w:p>
    <w:p w14:paraId="576B4B7C">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征收集体土地、其他地上附着物、青苗等，应当遵循合法、合理、公平、公开的原则，兼顾国家、集体和个人的利益，妥善安置被征地农民的生产生活。</w:t>
      </w:r>
    </w:p>
    <w:p w14:paraId="054BDA19">
      <w:pPr>
        <w:keepNext w:val="0"/>
        <w:keepLines w:val="0"/>
        <w:pageBreakBefore w:val="0"/>
        <w:widowControl w:val="0"/>
        <w:numPr>
          <w:ilvl w:val="0"/>
          <w:numId w:val="0"/>
        </w:numPr>
        <w:kinsoku/>
        <w:wordWrap/>
        <w:overflowPunct/>
        <w:topLinePunct w:val="0"/>
        <w:bidi w:val="0"/>
        <w:adjustRightInd/>
        <w:snapToGrid/>
        <w:spacing w:line="520" w:lineRule="exact"/>
        <w:ind w:leftChars="200"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四、征收土地程序</w:t>
      </w:r>
    </w:p>
    <w:p w14:paraId="0DC3FA4B">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（一）征收土地预公告</w:t>
      </w:r>
    </w:p>
    <w:p w14:paraId="525C18DA">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在拟征收土地所在的乡（镇、街道）和村、村民小组范围内，以在公共场所张贴等有利于社会公众知晓的方式发布征收土地预公告，并在区人民政府门户网站公布，预公告时间不少于</w:t>
      </w:r>
      <w:r>
        <w:rPr>
          <w:rFonts w:hint="eastAsia" w:ascii="仿宋" w:hAnsi="仿宋" w:eastAsia="仿宋" w:cs="仿宋"/>
          <w:b w:val="0"/>
          <w:bCs w:val="0"/>
          <w:color w:val="auto"/>
          <w:kern w:val="0"/>
          <w:sz w:val="32"/>
          <w:szCs w:val="32"/>
          <w:lang w:val="en-US" w:eastAsia="zh-CN"/>
        </w:rPr>
        <w:t>十</w:t>
      </w:r>
      <w:r>
        <w:rPr>
          <w:rFonts w:hint="eastAsia" w:ascii="仿宋" w:hAnsi="仿宋" w:eastAsia="仿宋" w:cs="仿宋"/>
          <w:b w:val="0"/>
          <w:bCs w:val="0"/>
          <w:color w:val="auto"/>
          <w:kern w:val="0"/>
          <w:sz w:val="32"/>
          <w:szCs w:val="32"/>
        </w:rPr>
        <w:t>个工作日。</w:t>
      </w:r>
    </w:p>
    <w:p w14:paraId="35E5747A">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自征收土地预公告发布之日起，各有关部门在征收范围内停止批准宅基地和其他建设项目用地</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停止</w:t>
      </w:r>
      <w:r>
        <w:rPr>
          <w:rFonts w:hint="eastAsia" w:ascii="仿宋" w:hAnsi="仿宋" w:eastAsia="仿宋" w:cs="仿宋"/>
          <w:b w:val="0"/>
          <w:bCs w:val="0"/>
          <w:color w:val="auto"/>
          <w:kern w:val="0"/>
          <w:sz w:val="32"/>
          <w:szCs w:val="32"/>
        </w:rPr>
        <w:t>批准建房及其他项目建设</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任何单位和个人不得在拟征收范围内抢栽抢建，包括新建、改建、扩建房屋或者其他建筑物、构筑物等，违反规定的，对抢栽抢建部分不予补偿。</w:t>
      </w:r>
    </w:p>
    <w:p w14:paraId="3B2A3872">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（二）现状调查</w:t>
      </w:r>
    </w:p>
    <w:p w14:paraId="0FB32DB4">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征收土地预公告发布后，</w:t>
      </w:r>
      <w:r>
        <w:rPr>
          <w:rFonts w:hint="eastAsia" w:ascii="仿宋" w:hAnsi="仿宋" w:eastAsia="仿宋" w:cs="仿宋"/>
          <w:b w:val="0"/>
          <w:bCs w:val="0"/>
          <w:color w:val="auto"/>
          <w:kern w:val="0"/>
          <w:sz w:val="32"/>
          <w:szCs w:val="32"/>
          <w:lang w:val="en-US" w:eastAsia="zh-CN"/>
        </w:rPr>
        <w:t>项目所在</w:t>
      </w:r>
      <w:r>
        <w:rPr>
          <w:rFonts w:hint="eastAsia" w:ascii="仿宋" w:hAnsi="仿宋" w:eastAsia="仿宋" w:cs="仿宋"/>
          <w:b w:val="0"/>
          <w:bCs w:val="0"/>
          <w:color w:val="auto"/>
          <w:kern w:val="0"/>
          <w:sz w:val="32"/>
          <w:szCs w:val="32"/>
        </w:rPr>
        <w:t>乡（镇）人民政府、街道办事处召集被征收人对土地的位置、权属、地类、面积以及其他地上附着物、青苗等的权属、种类、数量等情况进行土地现状调查及被征地农民养老保险调查。</w:t>
      </w:r>
      <w:r>
        <w:rPr>
          <w:rFonts w:hint="eastAsia" w:ascii="仿宋" w:hAnsi="仿宋" w:eastAsia="仿宋" w:cs="仿宋"/>
          <w:b w:val="0"/>
          <w:bCs w:val="0"/>
          <w:color w:val="auto"/>
          <w:kern w:val="0"/>
          <w:sz w:val="32"/>
          <w:szCs w:val="32"/>
          <w:lang w:val="en-US" w:eastAsia="zh-CN"/>
        </w:rPr>
        <w:t>调查结果由参与各方签字确认，被征收人应当予以配合。</w:t>
      </w:r>
      <w:r>
        <w:rPr>
          <w:rFonts w:hint="eastAsia" w:ascii="仿宋" w:hAnsi="仿宋" w:eastAsia="仿宋" w:cs="仿宋"/>
          <w:b w:val="0"/>
          <w:bCs w:val="0"/>
          <w:color w:val="auto"/>
          <w:kern w:val="0"/>
          <w:sz w:val="32"/>
          <w:szCs w:val="32"/>
        </w:rPr>
        <w:t>土地现状调查确认结果应在拟征收土地所在的乡（镇、街道）和村、村民小组范围内</w:t>
      </w:r>
      <w:r>
        <w:rPr>
          <w:rFonts w:hint="eastAsia" w:ascii="仿宋" w:hAnsi="仿宋" w:eastAsia="仿宋" w:cs="仿宋"/>
          <w:b w:val="0"/>
          <w:bCs w:val="0"/>
          <w:color w:val="auto"/>
          <w:kern w:val="0"/>
          <w:sz w:val="32"/>
          <w:szCs w:val="32"/>
          <w:lang w:eastAsia="zh-CN"/>
        </w:rPr>
        <w:t>，可</w:t>
      </w:r>
      <w:r>
        <w:rPr>
          <w:rFonts w:hint="eastAsia" w:ascii="仿宋" w:hAnsi="仿宋" w:eastAsia="仿宋" w:cs="仿宋"/>
          <w:b w:val="0"/>
          <w:bCs w:val="0"/>
          <w:color w:val="auto"/>
          <w:kern w:val="0"/>
          <w:sz w:val="32"/>
          <w:szCs w:val="32"/>
        </w:rPr>
        <w:t>以在公共场所张贴等有利于社会公众知晓的方式发布，公示时间不少于五个工作日。土地现状调查确认结果公示应当载明异议反馈渠道，拟征收土地所有权人、使用权人对调查确认结果有异议的，应当在公示期内提出，由参加调查的单位复核。</w:t>
      </w:r>
    </w:p>
    <w:p w14:paraId="55BF1739">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拟征收土地所有权人、使用权人不能参加土地现状调查的，应当书面委托他人参加。不能参加又不委托他人，或者到场参加调查又不签字确认的，</w:t>
      </w:r>
      <w:r>
        <w:rPr>
          <w:rFonts w:hint="eastAsia" w:ascii="仿宋" w:hAnsi="仿宋" w:eastAsia="仿宋" w:cs="仿宋"/>
          <w:b w:val="0"/>
          <w:bCs w:val="0"/>
          <w:color w:val="auto"/>
          <w:kern w:val="0"/>
          <w:sz w:val="32"/>
          <w:szCs w:val="32"/>
          <w:lang w:val="en-US" w:eastAsia="zh-CN"/>
        </w:rPr>
        <w:t>由项目所在</w:t>
      </w:r>
      <w:r>
        <w:rPr>
          <w:rFonts w:hint="eastAsia" w:ascii="仿宋" w:hAnsi="仿宋" w:eastAsia="仿宋" w:cs="仿宋"/>
          <w:b w:val="0"/>
          <w:bCs w:val="0"/>
          <w:color w:val="auto"/>
          <w:kern w:val="0"/>
          <w:sz w:val="32"/>
          <w:szCs w:val="32"/>
        </w:rPr>
        <w:t>乡（镇）人民政府、街道办事处申请公证机构对调查行为以及调查结果进行证据保全。</w:t>
      </w:r>
    </w:p>
    <w:p w14:paraId="585E4886">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（三）社会稳定风险评估</w:t>
      </w:r>
    </w:p>
    <w:p w14:paraId="18B727F4">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区人民政府组织</w:t>
      </w:r>
      <w:r>
        <w:rPr>
          <w:rFonts w:hint="eastAsia" w:ascii="仿宋" w:hAnsi="仿宋" w:eastAsia="仿宋" w:cs="仿宋"/>
          <w:b w:val="0"/>
          <w:bCs w:val="0"/>
          <w:color w:val="auto"/>
          <w:kern w:val="0"/>
          <w:sz w:val="32"/>
          <w:szCs w:val="32"/>
        </w:rPr>
        <w:t>开展征收土地社会稳定风险评估，被征地的农村集体经济组织及其成员、村民委员会和其他利害关系人应</w:t>
      </w:r>
      <w:r>
        <w:rPr>
          <w:rFonts w:hint="eastAsia" w:ascii="仿宋" w:hAnsi="仿宋" w:eastAsia="仿宋" w:cs="仿宋"/>
          <w:b w:val="0"/>
          <w:bCs w:val="0"/>
          <w:color w:val="auto"/>
          <w:kern w:val="0"/>
          <w:sz w:val="32"/>
          <w:szCs w:val="32"/>
          <w:lang w:val="en-US" w:eastAsia="zh-CN"/>
        </w:rPr>
        <w:t>当</w:t>
      </w:r>
      <w:r>
        <w:rPr>
          <w:rFonts w:hint="eastAsia" w:ascii="仿宋" w:hAnsi="仿宋" w:eastAsia="仿宋" w:cs="仿宋"/>
          <w:b w:val="0"/>
          <w:bCs w:val="0"/>
          <w:color w:val="auto"/>
          <w:kern w:val="0"/>
          <w:sz w:val="32"/>
          <w:szCs w:val="32"/>
        </w:rPr>
        <w:t>参加，对土地征收过程中可能影响社会稳定的因素，进行科学系统、客观公正的预测、分析和评估，提出风险防范和化解措施，确定风险等级、作出风险评估结论。</w:t>
      </w:r>
    </w:p>
    <w:p w14:paraId="61EFF31D">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（四）征地补偿安置方案及听证</w:t>
      </w:r>
    </w:p>
    <w:p w14:paraId="2071ABC8">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区人民政府</w:t>
      </w:r>
      <w:r>
        <w:rPr>
          <w:rFonts w:hint="eastAsia" w:ascii="仿宋" w:hAnsi="仿宋" w:eastAsia="仿宋" w:cs="仿宋"/>
          <w:b w:val="0"/>
          <w:bCs w:val="0"/>
          <w:color w:val="auto"/>
          <w:kern w:val="0"/>
          <w:sz w:val="32"/>
          <w:szCs w:val="32"/>
        </w:rPr>
        <w:t>依据社会稳定风险评估结果，结合土地现状调查及被征地农民社会保障调查情况，测算并落实征地补偿安置总费用，组织自然资源、财政、住房和城乡建设、人力资源和社会保障、农业农村、林业、民政等有关部门拟定征地补偿安置方案。征地补偿安置方案在拟征收土地所在的乡（镇、街道）和村、村民小组范围内</w:t>
      </w:r>
      <w:r>
        <w:rPr>
          <w:rFonts w:hint="eastAsia" w:ascii="仿宋" w:hAnsi="仿宋" w:eastAsia="仿宋" w:cs="仿宋"/>
          <w:b w:val="0"/>
          <w:bCs w:val="0"/>
          <w:color w:val="auto"/>
          <w:kern w:val="0"/>
          <w:sz w:val="32"/>
          <w:szCs w:val="32"/>
          <w:lang w:eastAsia="zh-CN"/>
        </w:rPr>
        <w:t>，可</w:t>
      </w:r>
      <w:r>
        <w:rPr>
          <w:rFonts w:hint="eastAsia" w:ascii="仿宋" w:hAnsi="仿宋" w:eastAsia="仿宋" w:cs="仿宋"/>
          <w:b w:val="0"/>
          <w:bCs w:val="0"/>
          <w:color w:val="auto"/>
          <w:kern w:val="0"/>
          <w:sz w:val="32"/>
          <w:szCs w:val="32"/>
        </w:rPr>
        <w:t>以在公共场所张贴等有利于社会公众知晓的方式公告，并在区人民政府门户网站公布，公告时间不少于三十日。</w:t>
      </w:r>
    </w:p>
    <w:p w14:paraId="30107947">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过半数被征地的农村集体经济组织成员认为拟定的征地补偿安置方案不符合法律、法规规定的，区人民政府应当组织听证。被征地的农村集体经济组织或者其成员可以对拟定的征地补偿安置方案提出意见、建议。区人民政府根据收集的意见、建议情况，认为确有必要的，可以组织听证。区人民政府应当根据法律、法规的规定和听证会、征求意见的情况，修改征地补偿安置方案并予以公告。</w:t>
      </w:r>
    </w:p>
    <w:p w14:paraId="0ED603E0">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（五）补偿登记和协议签订</w:t>
      </w:r>
    </w:p>
    <w:p w14:paraId="6082A99B">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被征收人应在征地补偿安置方案公告规定期限内，持不动产权属证明材料办理补偿登记。未在规定期限内办理补偿登记的，相关信息以土地现状调查公示结果确定。</w:t>
      </w:r>
    </w:p>
    <w:p w14:paraId="6BFE405C">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征地补偿协议由</w:t>
      </w:r>
      <w:r>
        <w:rPr>
          <w:rFonts w:hint="eastAsia" w:ascii="仿宋" w:hAnsi="仿宋" w:eastAsia="仿宋" w:cs="仿宋"/>
          <w:b w:val="0"/>
          <w:bCs w:val="0"/>
          <w:color w:val="auto"/>
          <w:kern w:val="0"/>
          <w:sz w:val="32"/>
          <w:szCs w:val="32"/>
          <w:lang w:val="en"/>
        </w:rPr>
        <w:t>自然资源主管部门</w:t>
      </w:r>
      <w:r>
        <w:rPr>
          <w:rFonts w:hint="eastAsia" w:ascii="仿宋" w:hAnsi="仿宋" w:eastAsia="仿宋" w:cs="仿宋"/>
          <w:b w:val="0"/>
          <w:bCs w:val="0"/>
          <w:color w:val="auto"/>
          <w:kern w:val="0"/>
          <w:sz w:val="32"/>
          <w:szCs w:val="32"/>
        </w:rPr>
        <w:t>与被征地农村集体经济组织签订。征地补偿安置协议由实施单位与被征地使用权人签订。</w:t>
      </w:r>
    </w:p>
    <w:p w14:paraId="00D1B256">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（六）征收土地公告</w:t>
      </w:r>
    </w:p>
    <w:p w14:paraId="34247E0F">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征收土地申请经依法批准后，区人民政府应当自收到批准文件之日起十五个工作日内在拟征收土地所在的乡（镇、街道）和村、村民小组范围内</w:t>
      </w:r>
      <w:r>
        <w:rPr>
          <w:rFonts w:hint="eastAsia" w:ascii="仿宋" w:hAnsi="仿宋" w:eastAsia="仿宋" w:cs="仿宋"/>
          <w:b w:val="0"/>
          <w:bCs w:val="0"/>
          <w:color w:val="auto"/>
          <w:kern w:val="0"/>
          <w:sz w:val="32"/>
          <w:szCs w:val="32"/>
          <w:lang w:eastAsia="zh-CN"/>
        </w:rPr>
        <w:t>，可</w:t>
      </w:r>
      <w:r>
        <w:rPr>
          <w:rFonts w:hint="eastAsia" w:ascii="仿宋" w:hAnsi="仿宋" w:eastAsia="仿宋" w:cs="仿宋"/>
          <w:b w:val="0"/>
          <w:bCs w:val="0"/>
          <w:color w:val="auto"/>
          <w:kern w:val="0"/>
          <w:sz w:val="32"/>
          <w:szCs w:val="32"/>
        </w:rPr>
        <w:t>以在公共场所张贴等有利于社会公众知晓的方式发布征收土地公告，并在区人民政府门户网站公布，公告期限不少于十个工作日。</w:t>
      </w:r>
    </w:p>
    <w:p w14:paraId="03441BFE">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（七）征收土地补偿安置决定</w:t>
      </w:r>
    </w:p>
    <w:p w14:paraId="4AA4455E">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对个别未达成征地补偿安置协议的，</w:t>
      </w:r>
      <w:r>
        <w:rPr>
          <w:rFonts w:hint="eastAsia" w:ascii="仿宋" w:hAnsi="仿宋" w:eastAsia="仿宋" w:cs="仿宋"/>
          <w:b w:val="0"/>
          <w:bCs w:val="0"/>
          <w:color w:val="auto"/>
          <w:kern w:val="0"/>
          <w:sz w:val="32"/>
          <w:szCs w:val="32"/>
          <w:lang w:val="en-US" w:eastAsia="zh-CN"/>
        </w:rPr>
        <w:t>由</w:t>
      </w:r>
      <w:r>
        <w:rPr>
          <w:rFonts w:hint="eastAsia" w:ascii="仿宋" w:hAnsi="仿宋" w:eastAsia="仿宋" w:cs="仿宋"/>
          <w:b w:val="0"/>
          <w:bCs w:val="0"/>
          <w:color w:val="auto"/>
          <w:kern w:val="0"/>
          <w:sz w:val="32"/>
          <w:szCs w:val="32"/>
        </w:rPr>
        <w:t>区人民政府在征收土地公告发布之日起四十五日内，依据土地现状调查公示结果、征地补偿安置方案、补偿登记结果等，作出征收土地补偿安置决定并送达被征收人，依法组织实施。</w:t>
      </w:r>
    </w:p>
    <w:p w14:paraId="2B725DE6">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（八）支付征地补偿款</w:t>
      </w:r>
    </w:p>
    <w:p w14:paraId="759B108D">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区人民政府在征收土地公告发布之日起六十日内，将土地补偿费、安置补助费足额支付给被征地农村集体经济组织，将其他地上附着物、青苗等的补偿费用足额支付给其所有权人，并将被征地农民的社会保障资金足额计入被征地农民基本养老保险等个人的社会保障基金账户。对个别未达成征地补偿安置协议的，支付征收土地补偿费用的期限自征收土地补偿安置决定作出之日起计算。</w:t>
      </w:r>
    </w:p>
    <w:p w14:paraId="44C90022">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（九）责令交出土地</w:t>
      </w:r>
    </w:p>
    <w:p w14:paraId="64E1108C">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被征收人未在规定期限内交地，经催告后仍不履行的，被征收人拒不签订征地补偿安置协议的</w:t>
      </w:r>
      <w:r>
        <w:rPr>
          <w:rFonts w:hint="eastAsia" w:ascii="仿宋" w:hAnsi="仿宋" w:eastAsia="仿宋" w:cs="仿宋"/>
          <w:b w:val="0"/>
          <w:bCs w:val="0"/>
          <w:color w:val="auto"/>
          <w:kern w:val="0"/>
          <w:sz w:val="32"/>
          <w:szCs w:val="32"/>
          <w:lang w:eastAsia="zh-CN"/>
        </w:rPr>
        <w:t>，在</w:t>
      </w:r>
      <w:r>
        <w:rPr>
          <w:rFonts w:hint="eastAsia" w:ascii="仿宋" w:hAnsi="仿宋" w:eastAsia="仿宋" w:cs="仿宋"/>
          <w:b w:val="0"/>
          <w:bCs w:val="0"/>
          <w:color w:val="auto"/>
          <w:kern w:val="0"/>
          <w:sz w:val="32"/>
          <w:szCs w:val="32"/>
        </w:rPr>
        <w:t>补偿安置到位后，由区人民政府依法责令限期交出土地；被征收人在法定限期内仍不交出土地，且在法定期限内不申请行政复议或者不提起行政诉讼的，又不履行责令限期交地决定的，由区人民政府依法申请人民法院强制执行。</w:t>
      </w:r>
    </w:p>
    <w:p w14:paraId="2993BA87">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default"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（十）变更或注销不动产权证</w:t>
      </w:r>
    </w:p>
    <w:p w14:paraId="459EAEFE">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地补偿费用支付到位后三十日内，由实施单位收回不动产权证书，依法向不动产登记部门申请变更或注销。被征收人拒不交出不动产权证书的，由实施单位凭征地补偿安置协议、补偿安置已到位的相关证明材料等证据依法向不动产登记部门申请变更或注销。</w:t>
      </w:r>
    </w:p>
    <w:p w14:paraId="5018B20D">
      <w:pPr>
        <w:pStyle w:val="4"/>
        <w:keepNext w:val="0"/>
        <w:keepLines w:val="0"/>
        <w:pageBreakBefore w:val="0"/>
        <w:widowControl w:val="0"/>
        <w:kinsoku/>
        <w:wordWrap/>
        <w:overflowPunct/>
        <w:topLinePunct w:val="0"/>
        <w:bidi w:val="0"/>
        <w:adjustRightInd/>
        <w:snapToGrid/>
        <w:spacing w:line="52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五、征收土地补偿安置</w:t>
      </w:r>
    </w:p>
    <w:p w14:paraId="27F1DCD2">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（一）补偿标准</w:t>
      </w:r>
    </w:p>
    <w:p w14:paraId="0540709A">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征收农用地及其他土地的土地补偿费和安置补助费按照</w:t>
      </w:r>
      <w:r>
        <w:rPr>
          <w:rFonts w:hint="eastAsia" w:ascii="仿宋" w:hAnsi="仿宋" w:eastAsia="仿宋" w:cs="仿宋"/>
          <w:b w:val="0"/>
          <w:bCs w:val="0"/>
          <w:color w:val="auto"/>
          <w:kern w:val="0"/>
          <w:sz w:val="32"/>
          <w:szCs w:val="32"/>
          <w:lang w:val="en-US" w:eastAsia="zh-CN"/>
        </w:rPr>
        <w:t>赣州市南康区征地补偿标准（标准见附件1）</w:t>
      </w:r>
      <w:r>
        <w:rPr>
          <w:rFonts w:hint="eastAsia" w:ascii="仿宋" w:hAnsi="仿宋" w:eastAsia="仿宋" w:cs="仿宋"/>
          <w:b w:val="0"/>
          <w:bCs w:val="0"/>
          <w:color w:val="auto"/>
          <w:kern w:val="0"/>
          <w:sz w:val="32"/>
          <w:szCs w:val="32"/>
        </w:rPr>
        <w:t>确定的标准进行补偿</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如省政府标准调整，按照省政府最新标准执行。</w:t>
      </w:r>
      <w:r>
        <w:rPr>
          <w:rFonts w:hint="eastAsia" w:ascii="仿宋" w:hAnsi="仿宋" w:eastAsia="仿宋" w:cs="仿宋"/>
          <w:b w:val="0"/>
          <w:bCs w:val="0"/>
          <w:color w:val="auto"/>
          <w:kern w:val="0"/>
          <w:sz w:val="32"/>
          <w:szCs w:val="32"/>
        </w:rPr>
        <w:t>对合法有效且持有批准手续的宅基地使用权，或者已取得宅基地建房批准文件在两年内因客观原因未动工建设的，</w:t>
      </w:r>
      <w:r>
        <w:rPr>
          <w:rFonts w:hint="eastAsia" w:ascii="仿宋" w:hAnsi="仿宋" w:eastAsia="仿宋" w:cs="仿宋"/>
          <w:b w:val="0"/>
          <w:bCs w:val="0"/>
          <w:color w:val="auto"/>
          <w:kern w:val="0"/>
          <w:sz w:val="32"/>
          <w:szCs w:val="32"/>
          <w:lang w:val="en-US" w:eastAsia="zh-CN"/>
        </w:rPr>
        <w:t>按</w:t>
      </w:r>
      <w:r>
        <w:rPr>
          <w:rFonts w:hint="eastAsia" w:ascii="仿宋" w:hAnsi="仿宋" w:eastAsia="仿宋" w:cs="仿宋"/>
          <w:b w:val="0"/>
          <w:bCs w:val="0"/>
          <w:color w:val="auto"/>
          <w:kern w:val="0"/>
          <w:sz w:val="32"/>
          <w:szCs w:val="32"/>
        </w:rPr>
        <w:t>照</w:t>
      </w:r>
      <w:r>
        <w:rPr>
          <w:rFonts w:hint="eastAsia" w:ascii="仿宋" w:hAnsi="仿宋" w:eastAsia="仿宋" w:cs="仿宋"/>
          <w:b w:val="0"/>
          <w:bCs w:val="0"/>
          <w:color w:val="auto"/>
          <w:kern w:val="0"/>
          <w:sz w:val="32"/>
          <w:szCs w:val="32"/>
          <w:lang w:val="en-US" w:eastAsia="zh-CN"/>
        </w:rPr>
        <w:t>赣州市南康区征地补偿标准中</w:t>
      </w:r>
      <w:r>
        <w:rPr>
          <w:rFonts w:hint="eastAsia" w:ascii="仿宋" w:hAnsi="仿宋" w:eastAsia="仿宋" w:cs="仿宋"/>
          <w:b w:val="0"/>
          <w:bCs w:val="0"/>
          <w:color w:val="auto"/>
          <w:kern w:val="0"/>
          <w:sz w:val="32"/>
          <w:szCs w:val="32"/>
        </w:rPr>
        <w:t>农村集体建设用地标准补偿。</w:t>
      </w:r>
    </w:p>
    <w:p w14:paraId="7C559ECE">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征收农田水利机电排灌设备、电力、广播、通信设施以及其他地上附着物、零星果树、茶树等青苗的，给予适当补偿（标准见附</w:t>
      </w:r>
      <w:r>
        <w:rPr>
          <w:rFonts w:hint="eastAsia" w:ascii="仿宋" w:hAnsi="仿宋" w:eastAsia="仿宋" w:cs="仿宋"/>
          <w:b w:val="0"/>
          <w:bCs w:val="0"/>
          <w:color w:val="auto"/>
          <w:kern w:val="0"/>
          <w:sz w:val="32"/>
          <w:szCs w:val="32"/>
          <w:lang w:eastAsia="zh-CN"/>
        </w:rPr>
        <w:t>件</w:t>
      </w:r>
      <w:r>
        <w:rPr>
          <w:rFonts w:hint="eastAsia" w:ascii="仿宋" w:hAnsi="仿宋" w:eastAsia="仿宋" w:cs="仿宋"/>
          <w:b w:val="0"/>
          <w:bCs w:val="0"/>
          <w:color w:val="auto"/>
          <w:kern w:val="0"/>
          <w:sz w:val="32"/>
          <w:szCs w:val="32"/>
          <w:lang w:val="en-US" w:eastAsia="zh-CN"/>
        </w:rPr>
        <w:t>2、3</w:t>
      </w:r>
      <w:r>
        <w:rPr>
          <w:rFonts w:hint="eastAsia" w:ascii="仿宋" w:hAnsi="仿宋" w:eastAsia="仿宋" w:cs="仿宋"/>
          <w:b w:val="0"/>
          <w:bCs w:val="0"/>
          <w:color w:val="auto"/>
          <w:kern w:val="0"/>
          <w:sz w:val="32"/>
          <w:szCs w:val="32"/>
        </w:rPr>
        <w:t>），未明确项目的，由</w:t>
      </w:r>
      <w:r>
        <w:rPr>
          <w:rFonts w:hint="eastAsia" w:ascii="仿宋" w:hAnsi="仿宋" w:eastAsia="仿宋" w:cs="仿宋"/>
          <w:b w:val="0"/>
          <w:bCs w:val="0"/>
          <w:color w:val="auto"/>
          <w:kern w:val="0"/>
          <w:sz w:val="32"/>
          <w:szCs w:val="32"/>
          <w:lang w:val="en-US" w:eastAsia="zh-CN"/>
        </w:rPr>
        <w:t>区人民政府另行研究决定</w:t>
      </w:r>
      <w:r>
        <w:rPr>
          <w:rFonts w:hint="eastAsia" w:ascii="仿宋" w:hAnsi="仿宋" w:eastAsia="仿宋" w:cs="仿宋"/>
          <w:b w:val="0"/>
          <w:bCs w:val="0"/>
          <w:color w:val="auto"/>
          <w:kern w:val="0"/>
          <w:sz w:val="32"/>
          <w:szCs w:val="32"/>
        </w:rPr>
        <w:t>。</w:t>
      </w:r>
    </w:p>
    <w:p w14:paraId="492965F9">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按时迁移坟墓，给予补偿和奖励（标准见附</w:t>
      </w:r>
      <w:r>
        <w:rPr>
          <w:rFonts w:hint="eastAsia" w:ascii="仿宋" w:hAnsi="仿宋" w:eastAsia="仿宋" w:cs="仿宋"/>
          <w:b w:val="0"/>
          <w:bCs w:val="0"/>
          <w:color w:val="auto"/>
          <w:kern w:val="0"/>
          <w:sz w:val="32"/>
          <w:szCs w:val="32"/>
          <w:lang w:eastAsia="zh-CN"/>
        </w:rPr>
        <w:t>件</w:t>
      </w:r>
      <w:r>
        <w:rPr>
          <w:rFonts w:hint="eastAsia" w:ascii="仿宋" w:hAnsi="仿宋" w:eastAsia="仿宋" w:cs="仿宋"/>
          <w:b w:val="0"/>
          <w:bCs w:val="0"/>
          <w:color w:val="auto"/>
          <w:kern w:val="0"/>
          <w:sz w:val="32"/>
          <w:szCs w:val="32"/>
          <w:lang w:val="en-US" w:eastAsia="zh-CN"/>
        </w:rPr>
        <w:t>4</w:t>
      </w:r>
      <w:r>
        <w:rPr>
          <w:rFonts w:hint="eastAsia" w:ascii="仿宋" w:hAnsi="仿宋" w:eastAsia="仿宋" w:cs="仿宋"/>
          <w:b w:val="0"/>
          <w:bCs w:val="0"/>
          <w:color w:val="auto"/>
          <w:kern w:val="0"/>
          <w:sz w:val="32"/>
          <w:szCs w:val="32"/>
        </w:rPr>
        <w:t>），无主坟墓由实施单位负责迁移。征收范围内迁移的坟墓应当迁往政府统一建设的坟墓安置点集中安置，坟墓安置点的建设</w:t>
      </w:r>
      <w:r>
        <w:rPr>
          <w:rFonts w:hint="eastAsia" w:ascii="仿宋" w:hAnsi="仿宋" w:eastAsia="仿宋" w:cs="仿宋"/>
          <w:b w:val="0"/>
          <w:bCs w:val="0"/>
          <w:color w:val="auto"/>
          <w:kern w:val="0"/>
          <w:sz w:val="32"/>
          <w:szCs w:val="32"/>
          <w:lang w:eastAsia="zh-CN"/>
        </w:rPr>
        <w:t>按照</w:t>
      </w:r>
      <w:r>
        <w:rPr>
          <w:rFonts w:hint="eastAsia" w:ascii="仿宋" w:hAnsi="仿宋" w:eastAsia="仿宋" w:cs="仿宋"/>
          <w:b w:val="0"/>
          <w:bCs w:val="0"/>
          <w:color w:val="auto"/>
          <w:kern w:val="0"/>
          <w:sz w:val="32"/>
          <w:szCs w:val="32"/>
        </w:rPr>
        <w:t>《江西省公墓管理办法》执行。安置到城乡公益性公墓的，</w:t>
      </w:r>
      <w:r>
        <w:rPr>
          <w:rFonts w:hint="eastAsia" w:ascii="仿宋" w:hAnsi="仿宋" w:eastAsia="仿宋" w:cs="仿宋"/>
          <w:b w:val="0"/>
          <w:bCs w:val="0"/>
          <w:color w:val="auto"/>
          <w:kern w:val="0"/>
          <w:sz w:val="32"/>
          <w:szCs w:val="32"/>
          <w:lang w:val="en-US" w:eastAsia="zh-CN"/>
        </w:rPr>
        <w:t>免</w:t>
      </w:r>
      <w:r>
        <w:rPr>
          <w:rFonts w:hint="eastAsia" w:ascii="仿宋" w:hAnsi="仿宋" w:eastAsia="仿宋" w:cs="仿宋"/>
          <w:b w:val="0"/>
          <w:bCs w:val="0"/>
          <w:color w:val="auto"/>
          <w:kern w:val="0"/>
          <w:sz w:val="32"/>
          <w:szCs w:val="32"/>
        </w:rPr>
        <w:t>收墓位成本费，按规定缴纳公墓维护管理费。</w:t>
      </w:r>
    </w:p>
    <w:p w14:paraId="43F7BB1F">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（二）补偿分配</w:t>
      </w:r>
    </w:p>
    <w:p w14:paraId="6DB11706">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农村集体经济组织自收到土地补偿费、安置补助费之日起三十日内</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应当通过召开村民会议或者村民代表会议</w:t>
      </w:r>
      <w:r>
        <w:rPr>
          <w:rFonts w:hint="eastAsia" w:ascii="仿宋" w:hAnsi="仿宋" w:eastAsia="仿宋" w:cs="仿宋"/>
          <w:b w:val="0"/>
          <w:bCs w:val="0"/>
          <w:color w:val="auto"/>
          <w:kern w:val="0"/>
          <w:sz w:val="32"/>
          <w:szCs w:val="32"/>
        </w:rPr>
        <w:t>制定</w:t>
      </w:r>
      <w:r>
        <w:rPr>
          <w:rFonts w:hint="eastAsia" w:ascii="仿宋" w:hAnsi="仿宋" w:eastAsia="仿宋" w:cs="仿宋"/>
          <w:b w:val="0"/>
          <w:bCs w:val="0"/>
          <w:color w:val="auto"/>
          <w:kern w:val="0"/>
          <w:sz w:val="32"/>
          <w:szCs w:val="32"/>
          <w:lang w:val="en-US" w:eastAsia="zh-CN"/>
        </w:rPr>
        <w:t>征收土地补偿</w:t>
      </w:r>
      <w:r>
        <w:rPr>
          <w:rFonts w:hint="eastAsia" w:ascii="仿宋" w:hAnsi="仿宋" w:eastAsia="仿宋" w:cs="仿宋"/>
          <w:b w:val="0"/>
          <w:bCs w:val="0"/>
          <w:color w:val="auto"/>
          <w:kern w:val="0"/>
          <w:sz w:val="32"/>
          <w:szCs w:val="32"/>
        </w:rPr>
        <w:t>分配使用方案，将不少于百分之八十的土地补偿费和全部的安置补助费支付给被征地农民。</w:t>
      </w:r>
    </w:p>
    <w:p w14:paraId="7CB6C784">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征收土地补偿费用的收支明细应当及时在征收土地所在的乡（镇、街道）和村、村民小组范围内，以在公共场所张贴等有利于社会公众知晓的方式公布，公布时间不少于三十日。</w:t>
      </w:r>
    </w:p>
    <w:p w14:paraId="240C608D">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（三）建设留用地</w:t>
      </w:r>
    </w:p>
    <w:p w14:paraId="781ABE4A">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征收农村集体经济组织土地，按照被征收土地总面积减去其中的集体建设用地面积后4.8%的比例，给予该集体经济组织预留建设留用地。集体经济组织可自愿申请建设留用地实行货币结算或者换算成经营性资产留存给被征地农村集体经济组织，用于发展生产、安置就业。货币结算或者换算成经营性资产价格按被征地区域内住宅用地的基准地价标准结算。</w:t>
      </w:r>
    </w:p>
    <w:p w14:paraId="6E7DB093">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六、法律责任</w:t>
      </w:r>
    </w:p>
    <w:p w14:paraId="2C41244E">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b w:val="0"/>
          <w:bCs w:val="0"/>
          <w:color w:val="auto"/>
          <w:kern w:val="0"/>
          <w:sz w:val="32"/>
          <w:szCs w:val="32"/>
        </w:rPr>
        <w:t>征地过程中，被征收人伪造、涂改权属证明文件，谎报、瞒报有关数据，冒领、多领、骗取征地补偿款的，由实施单位追回征地补偿款。由相关部门依法对被征收人进行处罚，构成犯罪的，依法追究刑事责任。</w:t>
      </w:r>
    </w:p>
    <w:p w14:paraId="2344DFDB">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b w:val="0"/>
          <w:bCs w:val="0"/>
          <w:color w:val="auto"/>
          <w:kern w:val="0"/>
          <w:sz w:val="32"/>
          <w:szCs w:val="32"/>
          <w:lang w:val="en-US" w:eastAsia="zh-CN" w:bidi="ar-SA"/>
        </w:rPr>
        <w:t>实施单位及测绘、评估、公证机构的工作人员在征地补偿安置工作中，违反本办法规定，滥用职权、玩忽职守、徇私舞弊的，依法予以处理；构成犯罪的，依法追究刑事责任。</w:t>
      </w:r>
    </w:p>
    <w:p w14:paraId="3E9D7583">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sz w:val="32"/>
          <w:szCs w:val="32"/>
          <w:lang w:val="en-US" w:eastAsia="zh-CN"/>
        </w:rPr>
        <w:t>（三）</w:t>
      </w:r>
      <w:r>
        <w:rPr>
          <w:rFonts w:hint="eastAsia" w:ascii="仿宋" w:hAnsi="仿宋" w:eastAsia="仿宋" w:cs="仿宋"/>
          <w:b w:val="0"/>
          <w:bCs w:val="0"/>
          <w:color w:val="auto"/>
          <w:kern w:val="0"/>
          <w:sz w:val="32"/>
          <w:szCs w:val="32"/>
          <w:lang w:val="en-US" w:eastAsia="zh-CN" w:bidi="ar-SA"/>
        </w:rPr>
        <w:t>任何单位、个人阻挠和破坏征地工作，妨碍征地工作人员依法执行公务的，由公安机关依照《中华人民共和国治安管理处罚法》规定进行处罚；构成犯罪的，依法追究刑事责任。</w:t>
      </w:r>
    </w:p>
    <w:p w14:paraId="024FA3F7">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16" w:firstLineChars="200"/>
        <w:jc w:val="both"/>
        <w:textAlignment w:val="auto"/>
        <w:rPr>
          <w:rFonts w:hint="eastAsia" w:ascii="黑体" w:hAnsi="黑体" w:eastAsia="黑体" w:cs="黑体"/>
          <w:b w:val="0"/>
          <w:bCs w:val="0"/>
          <w:color w:val="auto"/>
          <w:spacing w:val="-6"/>
          <w:kern w:val="0"/>
          <w:sz w:val="32"/>
          <w:szCs w:val="32"/>
          <w:lang w:val="en-US" w:eastAsia="zh-CN"/>
        </w:rPr>
      </w:pPr>
      <w:r>
        <w:rPr>
          <w:rFonts w:hint="eastAsia" w:ascii="黑体" w:hAnsi="黑体" w:eastAsia="黑体" w:cs="黑体"/>
          <w:b w:val="0"/>
          <w:bCs w:val="0"/>
          <w:color w:val="auto"/>
          <w:spacing w:val="-6"/>
          <w:kern w:val="0"/>
          <w:sz w:val="32"/>
          <w:szCs w:val="32"/>
          <w:lang w:val="en-US" w:eastAsia="zh-CN"/>
        </w:rPr>
        <w:t>七、其他</w:t>
      </w:r>
    </w:p>
    <w:p w14:paraId="31C74AEA">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本</w:t>
      </w:r>
      <w:r>
        <w:rPr>
          <w:rFonts w:hint="eastAsia" w:ascii="仿宋" w:hAnsi="仿宋" w:eastAsia="仿宋" w:cs="仿宋"/>
          <w:b w:val="0"/>
          <w:bCs w:val="0"/>
          <w:color w:val="auto"/>
          <w:kern w:val="0"/>
          <w:sz w:val="32"/>
          <w:szCs w:val="32"/>
          <w:lang w:val="en-US" w:eastAsia="zh-CN"/>
        </w:rPr>
        <w:t>方案</w:t>
      </w:r>
      <w:r>
        <w:rPr>
          <w:rFonts w:hint="eastAsia" w:ascii="仿宋" w:hAnsi="仿宋" w:eastAsia="仿宋" w:cs="仿宋"/>
          <w:b w:val="0"/>
          <w:bCs w:val="0"/>
          <w:color w:val="auto"/>
          <w:kern w:val="0"/>
          <w:sz w:val="32"/>
          <w:szCs w:val="32"/>
        </w:rPr>
        <w:t>由赣州市</w:t>
      </w:r>
      <w:r>
        <w:rPr>
          <w:rFonts w:hint="eastAsia" w:ascii="仿宋" w:hAnsi="仿宋" w:eastAsia="仿宋" w:cs="仿宋"/>
          <w:b w:val="0"/>
          <w:bCs w:val="0"/>
          <w:color w:val="auto"/>
          <w:kern w:val="0"/>
          <w:sz w:val="32"/>
          <w:szCs w:val="32"/>
          <w:lang w:val="en-US" w:eastAsia="zh-CN"/>
        </w:rPr>
        <w:t>南康区</w:t>
      </w:r>
      <w:r>
        <w:rPr>
          <w:rFonts w:hint="eastAsia" w:ascii="仿宋" w:hAnsi="仿宋" w:eastAsia="仿宋" w:cs="仿宋"/>
          <w:b w:val="0"/>
          <w:bCs w:val="0"/>
          <w:color w:val="auto"/>
          <w:kern w:val="0"/>
          <w:sz w:val="32"/>
          <w:szCs w:val="32"/>
        </w:rPr>
        <w:t>人民政府</w:t>
      </w:r>
      <w:r>
        <w:rPr>
          <w:rFonts w:hint="eastAsia" w:ascii="仿宋" w:hAnsi="仿宋" w:eastAsia="仿宋" w:cs="仿宋"/>
          <w:b w:val="0"/>
          <w:bCs w:val="0"/>
          <w:color w:val="auto"/>
          <w:kern w:val="0"/>
          <w:sz w:val="32"/>
          <w:szCs w:val="32"/>
          <w:lang w:eastAsia="zh-CN"/>
        </w:rPr>
        <w:t>办公室</w:t>
      </w:r>
      <w:r>
        <w:rPr>
          <w:rFonts w:hint="eastAsia" w:ascii="仿宋" w:hAnsi="仿宋" w:eastAsia="仿宋" w:cs="仿宋"/>
          <w:b w:val="0"/>
          <w:bCs w:val="0"/>
          <w:color w:val="auto"/>
          <w:kern w:val="0"/>
          <w:sz w:val="32"/>
          <w:szCs w:val="32"/>
        </w:rPr>
        <w:t>负责解释，具体解释工作由赣州市自然资源局</w:t>
      </w:r>
      <w:r>
        <w:rPr>
          <w:rFonts w:hint="eastAsia" w:ascii="仿宋" w:hAnsi="仿宋" w:eastAsia="仿宋" w:cs="仿宋"/>
          <w:b w:val="0"/>
          <w:bCs w:val="0"/>
          <w:color w:val="auto"/>
          <w:kern w:val="0"/>
          <w:sz w:val="32"/>
          <w:szCs w:val="32"/>
          <w:lang w:val="en-US" w:eastAsia="zh-CN"/>
        </w:rPr>
        <w:t>南康分局</w:t>
      </w:r>
      <w:r>
        <w:rPr>
          <w:rFonts w:hint="eastAsia" w:ascii="仿宋" w:hAnsi="仿宋" w:eastAsia="仿宋" w:cs="仿宋"/>
          <w:b w:val="0"/>
          <w:bCs w:val="0"/>
          <w:color w:val="auto"/>
          <w:kern w:val="0"/>
          <w:sz w:val="32"/>
          <w:szCs w:val="32"/>
        </w:rPr>
        <w:t>负责。</w:t>
      </w:r>
    </w:p>
    <w:p w14:paraId="12850F9F">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本</w:t>
      </w:r>
      <w:r>
        <w:rPr>
          <w:rFonts w:hint="eastAsia" w:ascii="仿宋" w:hAnsi="仿宋" w:eastAsia="仿宋" w:cs="仿宋"/>
          <w:b w:val="0"/>
          <w:bCs w:val="0"/>
          <w:color w:val="auto"/>
          <w:kern w:val="0"/>
          <w:sz w:val="32"/>
          <w:szCs w:val="32"/>
          <w:lang w:val="en-US" w:eastAsia="zh-CN"/>
        </w:rPr>
        <w:t>方案</w:t>
      </w:r>
      <w:r>
        <w:rPr>
          <w:rFonts w:hint="eastAsia" w:ascii="仿宋" w:hAnsi="仿宋" w:eastAsia="仿宋" w:cs="仿宋"/>
          <w:b w:val="0"/>
          <w:bCs w:val="0"/>
          <w:color w:val="auto"/>
          <w:kern w:val="0"/>
          <w:sz w:val="32"/>
          <w:szCs w:val="32"/>
        </w:rPr>
        <w:t>自202</w:t>
      </w:r>
      <w:r>
        <w:rPr>
          <w:rFonts w:hint="eastAsia" w:ascii="仿宋" w:hAnsi="仿宋" w:eastAsia="仿宋" w:cs="仿宋"/>
          <w:b w:val="0"/>
          <w:bCs w:val="0"/>
          <w:color w:val="auto"/>
          <w:kern w:val="0"/>
          <w:sz w:val="32"/>
          <w:szCs w:val="32"/>
          <w:lang w:val="en-US" w:eastAsia="zh-CN"/>
        </w:rPr>
        <w:t>5</w:t>
      </w:r>
      <w:r>
        <w:rPr>
          <w:rFonts w:hint="eastAsia" w:ascii="仿宋" w:hAnsi="仿宋" w:eastAsia="仿宋" w:cs="仿宋"/>
          <w:b w:val="0"/>
          <w:bCs w:val="0"/>
          <w:color w:val="auto"/>
          <w:kern w:val="0"/>
          <w:sz w:val="32"/>
          <w:szCs w:val="32"/>
        </w:rPr>
        <w:t>年</w:t>
      </w: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月</w:t>
      </w:r>
      <w:r>
        <w:rPr>
          <w:rFonts w:hint="eastAsia" w:ascii="仿宋" w:hAnsi="仿宋" w:eastAsia="仿宋" w:cs="仿宋"/>
          <w:b w:val="0"/>
          <w:bCs w:val="0"/>
          <w:color w:val="auto"/>
          <w:kern w:val="0"/>
          <w:sz w:val="32"/>
          <w:szCs w:val="32"/>
          <w:lang w:val="en-US" w:eastAsia="zh-CN"/>
        </w:rPr>
        <w:t>15</w:t>
      </w:r>
      <w:r>
        <w:rPr>
          <w:rFonts w:hint="eastAsia" w:ascii="仿宋" w:hAnsi="仿宋" w:eastAsia="仿宋" w:cs="仿宋"/>
          <w:b w:val="0"/>
          <w:bCs w:val="0"/>
          <w:color w:val="auto"/>
          <w:kern w:val="0"/>
          <w:sz w:val="32"/>
          <w:szCs w:val="32"/>
        </w:rPr>
        <w:t>日起施行。《</w:t>
      </w:r>
      <w:r>
        <w:rPr>
          <w:rFonts w:hint="eastAsia" w:ascii="仿宋" w:hAnsi="仿宋" w:eastAsia="仿宋" w:cs="仿宋"/>
          <w:b w:val="0"/>
          <w:bCs w:val="0"/>
          <w:color w:val="auto"/>
          <w:kern w:val="0"/>
          <w:sz w:val="32"/>
          <w:szCs w:val="32"/>
          <w:lang w:val="en-US" w:eastAsia="zh-CN"/>
        </w:rPr>
        <w:t>关于印发赣州市南康区集体土地征收及房屋拆迁补偿安置方案</w:t>
      </w:r>
      <w:r>
        <w:rPr>
          <w:rFonts w:hint="eastAsia" w:ascii="仿宋" w:hAnsi="仿宋" w:eastAsia="仿宋" w:cs="仿宋"/>
          <w:b w:val="0"/>
          <w:bCs w:val="0"/>
          <w:color w:val="auto"/>
          <w:kern w:val="0"/>
          <w:sz w:val="32"/>
          <w:szCs w:val="32"/>
        </w:rPr>
        <w:t>（试行）</w:t>
      </w:r>
      <w:r>
        <w:rPr>
          <w:rFonts w:hint="eastAsia" w:ascii="仿宋" w:hAnsi="仿宋" w:eastAsia="仿宋" w:cs="仿宋"/>
          <w:b w:val="0"/>
          <w:bCs w:val="0"/>
          <w:color w:val="auto"/>
          <w:kern w:val="0"/>
          <w:sz w:val="32"/>
          <w:szCs w:val="32"/>
          <w:lang w:eastAsia="zh-CN"/>
        </w:rPr>
        <w:t>的</w:t>
      </w:r>
      <w:r>
        <w:rPr>
          <w:rFonts w:hint="eastAsia" w:ascii="仿宋" w:hAnsi="仿宋" w:eastAsia="仿宋" w:cs="仿宋"/>
          <w:b w:val="0"/>
          <w:bCs w:val="0"/>
          <w:color w:val="auto"/>
          <w:kern w:val="0"/>
          <w:sz w:val="32"/>
          <w:szCs w:val="32"/>
          <w:lang w:val="en-US" w:eastAsia="zh-CN"/>
        </w:rPr>
        <w:t>通知</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康</w:t>
      </w:r>
      <w:r>
        <w:rPr>
          <w:rFonts w:hint="eastAsia" w:ascii="仿宋" w:hAnsi="仿宋" w:eastAsia="仿宋" w:cs="仿宋"/>
          <w:b w:val="0"/>
          <w:bCs w:val="0"/>
          <w:color w:val="auto"/>
          <w:kern w:val="0"/>
          <w:sz w:val="32"/>
          <w:szCs w:val="32"/>
        </w:rPr>
        <w:t>府</w:t>
      </w:r>
      <w:r>
        <w:rPr>
          <w:rFonts w:hint="eastAsia" w:ascii="仿宋" w:hAnsi="仿宋" w:eastAsia="仿宋" w:cs="仿宋"/>
          <w:b w:val="0"/>
          <w:bCs w:val="0"/>
          <w:color w:val="auto"/>
          <w:kern w:val="0"/>
          <w:sz w:val="32"/>
          <w:szCs w:val="32"/>
          <w:lang w:val="en-US" w:eastAsia="zh-CN"/>
        </w:rPr>
        <w:t>办字</w:t>
      </w:r>
      <w:r>
        <w:rPr>
          <w:rFonts w:hint="eastAsia" w:ascii="仿宋" w:hAnsi="仿宋" w:eastAsia="仿宋" w:cs="仿宋"/>
          <w:b w:val="0"/>
          <w:bCs w:val="0"/>
          <w:color w:val="auto"/>
          <w:kern w:val="0"/>
          <w:sz w:val="32"/>
          <w:szCs w:val="32"/>
        </w:rPr>
        <w:t>〔2017〕</w:t>
      </w:r>
      <w:r>
        <w:rPr>
          <w:rFonts w:hint="eastAsia" w:ascii="仿宋" w:hAnsi="仿宋" w:eastAsia="仿宋" w:cs="仿宋"/>
          <w:b w:val="0"/>
          <w:bCs w:val="0"/>
          <w:color w:val="auto"/>
          <w:kern w:val="0"/>
          <w:sz w:val="32"/>
          <w:szCs w:val="32"/>
          <w:lang w:val="en-US" w:eastAsia="zh-CN"/>
        </w:rPr>
        <w:t>20</w:t>
      </w:r>
      <w:r>
        <w:rPr>
          <w:rFonts w:hint="eastAsia" w:ascii="仿宋" w:hAnsi="仿宋" w:eastAsia="仿宋" w:cs="仿宋"/>
          <w:b w:val="0"/>
          <w:bCs w:val="0"/>
          <w:color w:val="auto"/>
          <w:kern w:val="0"/>
          <w:sz w:val="32"/>
          <w:szCs w:val="32"/>
        </w:rPr>
        <w:t>号）同时废止。</w:t>
      </w:r>
    </w:p>
    <w:p w14:paraId="014C9548">
      <w:pPr>
        <w:keepNext w:val="0"/>
        <w:keepLines w:val="0"/>
        <w:pageBreakBefore w:val="0"/>
        <w:widowControl w:val="0"/>
        <w:kinsoku/>
        <w:wordWrap/>
        <w:overflowPunct/>
        <w:topLinePunct w:val="0"/>
        <w:autoSpaceDE w:val="0"/>
        <w:autoSpaceDN w:val="0"/>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本</w:t>
      </w:r>
      <w:r>
        <w:rPr>
          <w:rFonts w:hint="eastAsia" w:ascii="仿宋" w:hAnsi="仿宋" w:eastAsia="仿宋" w:cs="仿宋"/>
          <w:b w:val="0"/>
          <w:bCs w:val="0"/>
          <w:color w:val="auto"/>
          <w:kern w:val="0"/>
          <w:sz w:val="32"/>
          <w:szCs w:val="32"/>
          <w:lang w:val="en-US" w:eastAsia="zh-CN"/>
        </w:rPr>
        <w:t>方案</w:t>
      </w:r>
      <w:r>
        <w:rPr>
          <w:rFonts w:hint="eastAsia" w:ascii="仿宋" w:hAnsi="仿宋" w:eastAsia="仿宋" w:cs="仿宋"/>
          <w:b w:val="0"/>
          <w:bCs w:val="0"/>
          <w:color w:val="auto"/>
          <w:kern w:val="0"/>
          <w:sz w:val="32"/>
          <w:szCs w:val="32"/>
        </w:rPr>
        <w:t>施行前已发布征收土地公告但尚未完成征地补偿安置的，按原征地拆迁补偿安置方案执行。</w:t>
      </w:r>
    </w:p>
    <w:p w14:paraId="1DB265C5">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16" w:firstLineChars="200"/>
        <w:jc w:val="both"/>
        <w:textAlignment w:val="auto"/>
        <w:rPr>
          <w:rFonts w:hint="eastAsia" w:ascii="仿宋" w:hAnsi="仿宋" w:eastAsia="仿宋" w:cs="仿宋"/>
          <w:b w:val="0"/>
          <w:bCs w:val="0"/>
          <w:color w:val="auto"/>
          <w:spacing w:val="-6"/>
          <w:kern w:val="0"/>
          <w:sz w:val="32"/>
          <w:szCs w:val="32"/>
          <w:lang w:val="en-US" w:eastAsia="zh-CN"/>
        </w:rPr>
      </w:pPr>
    </w:p>
    <w:p w14:paraId="222FF603">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616" w:firstLineChars="200"/>
        <w:jc w:val="both"/>
        <w:textAlignment w:val="auto"/>
        <w:rPr>
          <w:rFonts w:hint="default" w:ascii="仿宋" w:hAnsi="仿宋" w:eastAsia="仿宋" w:cs="仿宋"/>
          <w:b w:val="0"/>
          <w:bCs w:val="0"/>
          <w:color w:val="auto"/>
          <w:spacing w:val="-6"/>
          <w:kern w:val="0"/>
          <w:sz w:val="32"/>
          <w:szCs w:val="32"/>
          <w:lang w:val="en-US" w:eastAsia="zh-CN"/>
        </w:rPr>
      </w:pPr>
      <w:r>
        <w:rPr>
          <w:rFonts w:hint="eastAsia" w:ascii="仿宋" w:hAnsi="仿宋" w:eastAsia="仿宋" w:cs="仿宋"/>
          <w:b w:val="0"/>
          <w:bCs w:val="0"/>
          <w:color w:val="auto"/>
          <w:spacing w:val="-6"/>
          <w:kern w:val="0"/>
          <w:sz w:val="32"/>
          <w:szCs w:val="32"/>
          <w:lang w:val="en-US" w:eastAsia="zh-CN"/>
        </w:rPr>
        <w:t>附件：1.赣州市南康区征地补偿标准</w:t>
      </w:r>
    </w:p>
    <w:p w14:paraId="35AAC4A9">
      <w:pPr>
        <w:pStyle w:val="4"/>
        <w:keepNext w:val="0"/>
        <w:keepLines w:val="0"/>
        <w:pageBreakBefore w:val="0"/>
        <w:widowControl w:val="0"/>
        <w:numPr>
          <w:ilvl w:val="0"/>
          <w:numId w:val="0"/>
        </w:numPr>
        <w:kinsoku/>
        <w:wordWrap/>
        <w:overflowPunct/>
        <w:topLinePunct w:val="0"/>
        <w:bidi w:val="0"/>
        <w:adjustRightInd/>
        <w:snapToGrid/>
        <w:spacing w:line="520" w:lineRule="exact"/>
        <w:ind w:left="1847" w:leftChars="733" w:hanging="308" w:hangingChars="100"/>
        <w:jc w:val="both"/>
        <w:textAlignment w:val="auto"/>
        <w:rPr>
          <w:rFonts w:hint="eastAsia" w:ascii="仿宋" w:hAnsi="仿宋" w:eastAsia="仿宋" w:cs="仿宋"/>
          <w:b w:val="0"/>
          <w:bCs w:val="0"/>
          <w:color w:val="auto"/>
          <w:spacing w:val="-6"/>
          <w:kern w:val="0"/>
          <w:sz w:val="32"/>
          <w:szCs w:val="32"/>
          <w:lang w:val="en-US" w:eastAsia="zh-CN"/>
        </w:rPr>
      </w:pPr>
      <w:r>
        <w:rPr>
          <w:rFonts w:hint="eastAsia" w:ascii="仿宋" w:hAnsi="仿宋" w:eastAsia="仿宋" w:cs="仿宋"/>
          <w:b w:val="0"/>
          <w:bCs w:val="0"/>
          <w:color w:val="auto"/>
          <w:spacing w:val="-6"/>
          <w:kern w:val="0"/>
          <w:sz w:val="32"/>
          <w:szCs w:val="32"/>
          <w:lang w:val="en-US" w:eastAsia="zh-CN"/>
        </w:rPr>
        <w:t>2.赣州市南康区生产生活设施及其他地上附着物补偿标准</w:t>
      </w:r>
    </w:p>
    <w:p w14:paraId="15BDB1A4">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1540" w:firstLineChars="500"/>
        <w:jc w:val="both"/>
        <w:textAlignment w:val="auto"/>
        <w:rPr>
          <w:rFonts w:hint="eastAsia" w:ascii="仿宋" w:hAnsi="仿宋" w:eastAsia="仿宋" w:cs="仿宋"/>
          <w:b w:val="0"/>
          <w:bCs w:val="0"/>
          <w:color w:val="auto"/>
          <w:spacing w:val="-6"/>
          <w:kern w:val="0"/>
          <w:sz w:val="32"/>
          <w:szCs w:val="32"/>
          <w:lang w:val="en-US" w:eastAsia="zh-CN"/>
        </w:rPr>
      </w:pPr>
      <w:r>
        <w:rPr>
          <w:rFonts w:hint="eastAsia" w:ascii="仿宋" w:hAnsi="仿宋" w:eastAsia="仿宋" w:cs="仿宋"/>
          <w:b w:val="0"/>
          <w:bCs w:val="0"/>
          <w:color w:val="auto"/>
          <w:spacing w:val="-6"/>
          <w:kern w:val="0"/>
          <w:sz w:val="32"/>
          <w:szCs w:val="32"/>
          <w:lang w:val="en-US" w:eastAsia="zh-CN"/>
        </w:rPr>
        <w:t>3.赣州市南康区征地果树、茶树等青苗补偿标准</w:t>
      </w:r>
    </w:p>
    <w:p w14:paraId="4096BF10">
      <w:pPr>
        <w:pStyle w:val="4"/>
        <w:keepNext w:val="0"/>
        <w:keepLines w:val="0"/>
        <w:pageBreakBefore w:val="0"/>
        <w:widowControl w:val="0"/>
        <w:numPr>
          <w:ilvl w:val="0"/>
          <w:numId w:val="0"/>
        </w:numPr>
        <w:kinsoku/>
        <w:wordWrap/>
        <w:overflowPunct/>
        <w:topLinePunct w:val="0"/>
        <w:bidi w:val="0"/>
        <w:adjustRightInd/>
        <w:snapToGrid/>
        <w:spacing w:line="520" w:lineRule="exact"/>
        <w:ind w:left="0" w:leftChars="0" w:firstLine="1540" w:firstLineChars="500"/>
        <w:jc w:val="both"/>
        <w:textAlignment w:val="auto"/>
        <w:rPr>
          <w:rFonts w:hint="eastAsia" w:ascii="仿宋" w:hAnsi="仿宋" w:eastAsia="仿宋" w:cs="仿宋"/>
          <w:b w:val="0"/>
          <w:bCs w:val="0"/>
          <w:color w:val="auto"/>
          <w:spacing w:val="-6"/>
          <w:kern w:val="0"/>
          <w:sz w:val="32"/>
          <w:szCs w:val="32"/>
          <w:lang w:val="en-US" w:eastAsia="zh-CN"/>
        </w:rPr>
      </w:pPr>
      <w:r>
        <w:rPr>
          <w:rFonts w:hint="eastAsia" w:ascii="仿宋" w:hAnsi="仿宋" w:eastAsia="仿宋" w:cs="仿宋"/>
          <w:b w:val="0"/>
          <w:bCs w:val="0"/>
          <w:color w:val="auto"/>
          <w:spacing w:val="-6"/>
          <w:kern w:val="0"/>
          <w:sz w:val="32"/>
          <w:szCs w:val="32"/>
          <w:lang w:val="en-US" w:eastAsia="zh-CN"/>
        </w:rPr>
        <w:t>4.赣州市南康区坟墓迁移补偿、奖励标准</w:t>
      </w:r>
    </w:p>
    <w:p w14:paraId="4C2FED9E">
      <w:pPr>
        <w:pStyle w:val="4"/>
        <w:keepNext w:val="0"/>
        <w:keepLines w:val="0"/>
        <w:pageBreakBefore w:val="0"/>
        <w:widowControl w:val="0"/>
        <w:numPr>
          <w:ilvl w:val="0"/>
          <w:numId w:val="0"/>
        </w:numPr>
        <w:kinsoku/>
        <w:wordWrap/>
        <w:overflowPunct/>
        <w:topLinePunct w:val="0"/>
        <w:bidi w:val="0"/>
        <w:adjustRightInd/>
        <w:snapToGrid/>
        <w:spacing w:line="560" w:lineRule="exact"/>
        <w:ind w:left="0" w:leftChars="0" w:firstLine="616" w:firstLineChars="200"/>
        <w:jc w:val="both"/>
        <w:textAlignment w:val="auto"/>
        <w:rPr>
          <w:rFonts w:hint="eastAsia" w:ascii="仿宋" w:hAnsi="仿宋" w:eastAsia="仿宋" w:cs="仿宋"/>
          <w:b w:val="0"/>
          <w:bCs w:val="0"/>
          <w:color w:val="auto"/>
          <w:spacing w:val="-6"/>
          <w:kern w:val="0"/>
          <w:sz w:val="32"/>
          <w:szCs w:val="32"/>
          <w:lang w:val="en-US" w:eastAsia="zh-CN"/>
        </w:rPr>
      </w:pPr>
    </w:p>
    <w:p w14:paraId="23F9A059">
      <w:pPr>
        <w:keepNext w:val="0"/>
        <w:keepLines w:val="0"/>
        <w:pageBreakBefore w:val="0"/>
        <w:widowControl w:val="0"/>
        <w:numPr>
          <w:ilvl w:val="0"/>
          <w:numId w:val="0"/>
        </w:numPr>
        <w:kinsoku/>
        <w:wordWrap/>
        <w:overflowPunct/>
        <w:topLinePunct w:val="0"/>
        <w:bidi w:val="0"/>
        <w:adjustRightInd/>
        <w:snapToGrid/>
        <w:spacing w:line="540" w:lineRule="exact"/>
        <w:ind w:left="0" w:leftChars="0" w:firstLine="616" w:firstLineChars="200"/>
        <w:jc w:val="both"/>
        <w:textAlignment w:val="auto"/>
        <w:rPr>
          <w:rFonts w:hint="eastAsia" w:ascii="仿宋" w:hAnsi="仿宋" w:eastAsia="仿宋" w:cs="仿宋"/>
          <w:b w:val="0"/>
          <w:bCs w:val="0"/>
          <w:color w:val="auto"/>
          <w:spacing w:val="-6"/>
          <w:kern w:val="0"/>
          <w:sz w:val="32"/>
          <w:szCs w:val="32"/>
          <w:lang w:val="en-US" w:eastAsia="zh-CN"/>
        </w:rPr>
      </w:pPr>
      <w:r>
        <w:rPr>
          <w:rFonts w:hint="eastAsia" w:ascii="仿宋" w:hAnsi="仿宋" w:eastAsia="仿宋" w:cs="仿宋"/>
          <w:b w:val="0"/>
          <w:bCs w:val="0"/>
          <w:color w:val="auto"/>
          <w:spacing w:val="-6"/>
          <w:kern w:val="0"/>
          <w:sz w:val="32"/>
          <w:szCs w:val="32"/>
          <w:lang w:val="en-US" w:eastAsia="zh-CN"/>
        </w:rPr>
        <w:br w:type="page"/>
      </w:r>
    </w:p>
    <w:p w14:paraId="2970ECD2">
      <w:pPr>
        <w:pStyle w:val="4"/>
        <w:numPr>
          <w:ilvl w:val="0"/>
          <w:numId w:val="0"/>
        </w:numPr>
        <w:jc w:val="both"/>
        <w:rPr>
          <w:rFonts w:hint="eastAsia" w:ascii="黑体" w:hAnsi="黑体" w:eastAsia="黑体" w:cs="黑体"/>
          <w:b w:val="0"/>
          <w:bCs w:val="0"/>
          <w:color w:val="auto"/>
          <w:spacing w:val="-6"/>
          <w:kern w:val="0"/>
          <w:sz w:val="32"/>
          <w:szCs w:val="32"/>
          <w:lang w:val="en-US" w:eastAsia="zh-CN"/>
        </w:rPr>
      </w:pPr>
      <w:r>
        <w:rPr>
          <w:rFonts w:hint="eastAsia" w:ascii="黑体" w:hAnsi="黑体" w:eastAsia="黑体" w:cs="黑体"/>
          <w:b w:val="0"/>
          <w:bCs w:val="0"/>
          <w:color w:val="auto"/>
          <w:spacing w:val="-6"/>
          <w:kern w:val="0"/>
          <w:sz w:val="32"/>
          <w:szCs w:val="32"/>
          <w:lang w:val="en-US" w:eastAsia="zh-CN"/>
        </w:rPr>
        <w:t>附件1</w:t>
      </w:r>
    </w:p>
    <w:p w14:paraId="73151A48">
      <w:pPr>
        <w:pStyle w:val="4"/>
        <w:numPr>
          <w:ilvl w:val="0"/>
          <w:numId w:val="0"/>
        </w:numPr>
        <w:jc w:val="center"/>
        <w:rPr>
          <w:rFonts w:hint="default" w:ascii="方正小标宋简体" w:hAnsi="方正小标宋简体" w:eastAsia="方正小标宋简体" w:cs="方正小标宋简体"/>
          <w:b w:val="0"/>
          <w:bCs w:val="0"/>
          <w:color w:val="auto"/>
          <w:spacing w:val="-6"/>
          <w:kern w:val="0"/>
          <w:sz w:val="44"/>
          <w:szCs w:val="44"/>
          <w:lang w:val="en-US" w:eastAsia="zh-CN"/>
        </w:rPr>
      </w:pPr>
      <w:r>
        <w:rPr>
          <w:rFonts w:hint="eastAsia" w:ascii="方正小标宋简体" w:hAnsi="方正小标宋简体" w:eastAsia="方正小标宋简体" w:cs="方正小标宋简体"/>
          <w:b w:val="0"/>
          <w:bCs w:val="0"/>
          <w:color w:val="auto"/>
          <w:spacing w:val="-6"/>
          <w:kern w:val="0"/>
          <w:sz w:val="44"/>
          <w:szCs w:val="44"/>
          <w:lang w:val="en-US" w:eastAsia="zh-CN"/>
        </w:rPr>
        <w:t>赣州市南康区征地补偿标准</w:t>
      </w:r>
    </w:p>
    <w:p w14:paraId="7F1689BA">
      <w:pPr>
        <w:pStyle w:val="4"/>
        <w:numPr>
          <w:ilvl w:val="0"/>
          <w:numId w:val="0"/>
        </w:numPr>
        <w:ind w:firstLine="4288" w:firstLineChars="1600"/>
        <w:jc w:val="right"/>
        <w:rPr>
          <w:rFonts w:hint="eastAsia" w:ascii="仿宋" w:hAnsi="仿宋" w:eastAsia="仿宋" w:cs="仿宋"/>
          <w:b w:val="0"/>
          <w:bCs w:val="0"/>
          <w:color w:val="auto"/>
          <w:spacing w:val="-6"/>
          <w:kern w:val="0"/>
          <w:sz w:val="24"/>
          <w:szCs w:val="24"/>
          <w:lang w:val="en-US" w:eastAsia="zh-CN"/>
        </w:rPr>
      </w:pPr>
      <w:r>
        <w:rPr>
          <w:rFonts w:hint="eastAsia" w:ascii="仿宋" w:hAnsi="仿宋" w:eastAsia="仿宋" w:cs="仿宋"/>
          <w:b w:val="0"/>
          <w:bCs w:val="0"/>
          <w:color w:val="auto"/>
          <w:spacing w:val="-6"/>
          <w:kern w:val="0"/>
          <w:sz w:val="28"/>
          <w:szCs w:val="28"/>
          <w:lang w:val="en-US" w:eastAsia="zh-CN"/>
        </w:rPr>
        <w:t>单位：元/亩</w:t>
      </w:r>
    </w:p>
    <w:tbl>
      <w:tblPr>
        <w:tblStyle w:val="9"/>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1608"/>
        <w:gridCol w:w="927"/>
        <w:gridCol w:w="2048"/>
        <w:gridCol w:w="998"/>
        <w:gridCol w:w="1534"/>
        <w:gridCol w:w="1021"/>
      </w:tblGrid>
      <w:tr w14:paraId="3F92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D4658">
            <w:pPr>
              <w:keepNext w:val="0"/>
              <w:keepLines w:val="0"/>
              <w:widowControl/>
              <w:suppressLineNumbers w:val="0"/>
              <w:jc w:val="left"/>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608"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05C9076B">
            <w:pPr>
              <w:keepNext w:val="0"/>
              <w:keepLines w:val="0"/>
              <w:widowControl/>
              <w:suppressLineNumbers w:val="0"/>
              <w:ind w:firstLine="720" w:firstLineChars="300"/>
              <w:jc w:val="left"/>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地类</w:t>
            </w:r>
          </w:p>
          <w:p w14:paraId="29D2E4B3">
            <w:pPr>
              <w:keepNext w:val="0"/>
              <w:keepLines w:val="0"/>
              <w:widowControl/>
              <w:suppressLineNumbers w:val="0"/>
              <w:jc w:val="left"/>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范围</w:t>
            </w:r>
          </w:p>
        </w:tc>
        <w:tc>
          <w:tcPr>
            <w:tcW w:w="3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05FF2">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农用地</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6E99F">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农村集体</w:t>
            </w:r>
          </w:p>
          <w:p w14:paraId="3A69959D">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建设用地</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6950A">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未利</w:t>
            </w:r>
          </w:p>
          <w:p w14:paraId="63BDA1F0">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用地</w:t>
            </w:r>
          </w:p>
        </w:tc>
      </w:tr>
      <w:tr w14:paraId="43FE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EA27">
            <w:pPr>
              <w:rPr>
                <w:rFonts w:hint="eastAsia" w:ascii="黑体" w:hAnsi="黑体" w:eastAsia="黑体" w:cs="黑体"/>
                <w:b w:val="0"/>
                <w:bCs w:val="0"/>
                <w:i w:val="0"/>
                <w:iCs w:val="0"/>
                <w:color w:val="000000"/>
                <w:sz w:val="24"/>
                <w:szCs w:val="24"/>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0848">
            <w:pPr>
              <w:rPr>
                <w:rFonts w:hint="eastAsia" w:ascii="黑体" w:hAnsi="黑体" w:eastAsia="黑体" w:cs="黑体"/>
                <w:b w:val="0"/>
                <w:bCs w:val="0"/>
                <w:i w:val="0"/>
                <w:iCs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DFA9">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水田</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A619">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旱地、园地、</w:t>
            </w:r>
          </w:p>
          <w:p w14:paraId="6879A611">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人工高产油菜园、</w:t>
            </w:r>
            <w:r>
              <w:rPr>
                <w:rFonts w:hint="eastAsia" w:ascii="黑体" w:hAnsi="黑体" w:eastAsia="黑体" w:cs="黑体"/>
                <w:b w:val="0"/>
                <w:bCs w:val="0"/>
                <w:i w:val="0"/>
                <w:iCs w:val="0"/>
                <w:color w:val="auto"/>
                <w:kern w:val="0"/>
                <w:sz w:val="24"/>
                <w:szCs w:val="24"/>
                <w:u w:val="none"/>
                <w:lang w:val="en-US" w:eastAsia="zh-CN" w:bidi="ar"/>
              </w:rPr>
              <w:br w:type="textWrapping"/>
            </w:r>
            <w:r>
              <w:rPr>
                <w:rFonts w:hint="eastAsia" w:ascii="黑体" w:hAnsi="黑体" w:eastAsia="黑体" w:cs="黑体"/>
                <w:b w:val="0"/>
                <w:bCs w:val="0"/>
                <w:i w:val="0"/>
                <w:iCs w:val="0"/>
                <w:color w:val="auto"/>
                <w:kern w:val="0"/>
                <w:sz w:val="24"/>
                <w:szCs w:val="24"/>
                <w:u w:val="none"/>
                <w:lang w:val="en-US" w:eastAsia="zh-CN" w:bidi="ar"/>
              </w:rPr>
              <w:t>养殖坑塘及其他</w:t>
            </w:r>
            <w:r>
              <w:rPr>
                <w:rFonts w:hint="eastAsia" w:ascii="黑体" w:hAnsi="黑体" w:eastAsia="黑体" w:cs="黑体"/>
                <w:b w:val="0"/>
                <w:bCs w:val="0"/>
                <w:i w:val="0"/>
                <w:iCs w:val="0"/>
                <w:color w:val="auto"/>
                <w:kern w:val="0"/>
                <w:sz w:val="24"/>
                <w:szCs w:val="24"/>
                <w:u w:val="none"/>
                <w:lang w:val="en-US" w:eastAsia="zh-CN" w:bidi="ar"/>
              </w:rPr>
              <w:br w:type="textWrapping"/>
            </w:r>
            <w:r>
              <w:rPr>
                <w:rFonts w:hint="eastAsia" w:ascii="黑体" w:hAnsi="黑体" w:eastAsia="黑体" w:cs="黑体"/>
                <w:b w:val="0"/>
                <w:bCs w:val="0"/>
                <w:i w:val="0"/>
                <w:iCs w:val="0"/>
                <w:color w:val="auto"/>
                <w:kern w:val="0"/>
                <w:sz w:val="24"/>
                <w:szCs w:val="24"/>
                <w:u w:val="none"/>
                <w:lang w:val="en-US" w:eastAsia="zh-CN" w:bidi="ar"/>
              </w:rPr>
              <w:t>农用地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CA5">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林地</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ADBD">
            <w:pPr>
              <w:rPr>
                <w:rFonts w:hint="eastAsia" w:asciiTheme="minorEastAsia" w:hAnsiTheme="minorEastAsia" w:eastAsiaTheme="minorEastAsia" w:cstheme="minorEastAsia"/>
                <w:i w:val="0"/>
                <w:iCs w:val="0"/>
                <w:color w:val="000000"/>
                <w:sz w:val="24"/>
                <w:szCs w:val="24"/>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F4C0">
            <w:pPr>
              <w:rPr>
                <w:rFonts w:hint="eastAsia" w:asciiTheme="minorEastAsia" w:hAnsiTheme="minorEastAsia" w:eastAsiaTheme="minorEastAsia" w:cstheme="minorEastAsia"/>
                <w:i w:val="0"/>
                <w:iCs w:val="0"/>
                <w:color w:val="000000"/>
                <w:sz w:val="24"/>
                <w:szCs w:val="24"/>
                <w:u w:val="none"/>
              </w:rPr>
            </w:pPr>
          </w:p>
        </w:tc>
      </w:tr>
      <w:tr w14:paraId="3903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47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东山街道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蓉江街道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南水街道</w:t>
            </w:r>
          </w:p>
          <w:p w14:paraId="3A84A26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镜坝镇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龙岭镇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56320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9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35840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8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30720</w:t>
            </w:r>
          </w:p>
        </w:tc>
      </w:tr>
      <w:tr w14:paraId="7470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D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FD8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唐江镇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龙华镇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朱坊镇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太窝镇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8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54010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6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49100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D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34370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E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D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29460</w:t>
            </w:r>
          </w:p>
        </w:tc>
      </w:tr>
      <w:tr w14:paraId="5DCD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8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C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浮石乡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龙回乡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赤土畲族乡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横寨乡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大坪乡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横市镇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隆木乡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坪市乡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麻双乡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十八塘乡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6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51260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8B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46600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BD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32620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1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46600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B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27960</w:t>
            </w:r>
          </w:p>
        </w:tc>
      </w:tr>
    </w:tbl>
    <w:p w14:paraId="77163AE1">
      <w:pPr>
        <w:pStyle w:val="4"/>
        <w:numPr>
          <w:ilvl w:val="0"/>
          <w:numId w:val="0"/>
        </w:numPr>
        <w:jc w:val="both"/>
        <w:rPr>
          <w:rFonts w:hint="eastAsia" w:ascii="仿宋" w:hAnsi="仿宋" w:eastAsia="仿宋" w:cs="仿宋"/>
          <w:b w:val="0"/>
          <w:bCs w:val="0"/>
          <w:color w:val="auto"/>
          <w:spacing w:val="-6"/>
          <w:kern w:val="0"/>
          <w:sz w:val="24"/>
          <w:szCs w:val="24"/>
          <w:lang w:val="en-US" w:eastAsia="zh-CN"/>
        </w:rPr>
      </w:pPr>
      <w:r>
        <w:rPr>
          <w:rFonts w:hint="eastAsia" w:ascii="仿宋" w:hAnsi="仿宋" w:eastAsia="仿宋" w:cs="仿宋"/>
          <w:b w:val="0"/>
          <w:bCs w:val="0"/>
          <w:color w:val="auto"/>
          <w:spacing w:val="-6"/>
          <w:kern w:val="0"/>
          <w:sz w:val="24"/>
          <w:szCs w:val="24"/>
          <w:lang w:val="en-US" w:eastAsia="zh-CN"/>
        </w:rPr>
        <w:t>注：1.上述补偿标准不含青苗补偿费、地上附着物补偿费及社会保障费。</w:t>
      </w:r>
    </w:p>
    <w:p w14:paraId="2DB9A5EE">
      <w:pPr>
        <w:pStyle w:val="4"/>
        <w:numPr>
          <w:ilvl w:val="0"/>
          <w:numId w:val="0"/>
        </w:numPr>
        <w:ind w:firstLine="456" w:firstLineChars="200"/>
        <w:jc w:val="both"/>
        <w:rPr>
          <w:rFonts w:hint="eastAsia" w:ascii="仿宋" w:hAnsi="仿宋" w:eastAsia="仿宋" w:cs="仿宋"/>
          <w:b w:val="0"/>
          <w:bCs w:val="0"/>
          <w:color w:val="auto"/>
          <w:spacing w:val="-6"/>
          <w:kern w:val="0"/>
          <w:sz w:val="24"/>
          <w:szCs w:val="24"/>
          <w:lang w:val="en-US" w:eastAsia="zh-CN"/>
        </w:rPr>
      </w:pPr>
      <w:r>
        <w:rPr>
          <w:rFonts w:hint="eastAsia" w:ascii="仿宋" w:hAnsi="仿宋" w:eastAsia="仿宋" w:cs="仿宋"/>
          <w:b w:val="0"/>
          <w:bCs w:val="0"/>
          <w:color w:val="auto"/>
          <w:spacing w:val="-6"/>
          <w:kern w:val="0"/>
          <w:sz w:val="24"/>
          <w:szCs w:val="24"/>
          <w:lang w:val="en-US" w:eastAsia="zh-CN"/>
        </w:rPr>
        <w:t>2.耕地青苗补偿费为2413元/亩·年。</w:t>
      </w:r>
    </w:p>
    <w:p w14:paraId="3F466C86">
      <w:pPr>
        <w:pStyle w:val="4"/>
        <w:numPr>
          <w:ilvl w:val="0"/>
          <w:numId w:val="0"/>
        </w:numPr>
        <w:ind w:firstLine="456" w:firstLineChars="200"/>
        <w:jc w:val="both"/>
        <w:rPr>
          <w:rFonts w:hint="eastAsia" w:ascii="仿宋" w:hAnsi="仿宋" w:eastAsia="仿宋" w:cs="仿宋"/>
          <w:b w:val="0"/>
          <w:bCs w:val="0"/>
          <w:color w:val="auto"/>
          <w:spacing w:val="-6"/>
          <w:kern w:val="0"/>
          <w:sz w:val="24"/>
          <w:szCs w:val="24"/>
          <w:lang w:val="en-US" w:eastAsia="zh-CN"/>
        </w:rPr>
      </w:pPr>
      <w:r>
        <w:rPr>
          <w:rFonts w:hint="eastAsia" w:ascii="仿宋" w:hAnsi="仿宋" w:eastAsia="仿宋" w:cs="仿宋"/>
          <w:b w:val="0"/>
          <w:bCs w:val="0"/>
          <w:color w:val="auto"/>
          <w:spacing w:val="-6"/>
          <w:kern w:val="0"/>
          <w:sz w:val="24"/>
          <w:szCs w:val="24"/>
          <w:lang w:val="en-US" w:eastAsia="zh-CN"/>
        </w:rPr>
        <w:t>3.国有农用地补偿标准参照执行。</w:t>
      </w:r>
    </w:p>
    <w:p w14:paraId="2454178E">
      <w:pPr>
        <w:pStyle w:val="4"/>
        <w:numPr>
          <w:ilvl w:val="0"/>
          <w:numId w:val="0"/>
        </w:numPr>
        <w:ind w:left="239" w:leftChars="114" w:firstLine="228" w:firstLineChars="100"/>
        <w:jc w:val="both"/>
        <w:rPr>
          <w:rFonts w:hint="eastAsia" w:ascii="仿宋" w:hAnsi="仿宋" w:eastAsia="仿宋" w:cs="仿宋"/>
          <w:b w:val="0"/>
          <w:bCs w:val="0"/>
          <w:color w:val="auto"/>
          <w:spacing w:val="-6"/>
          <w:kern w:val="0"/>
          <w:sz w:val="24"/>
          <w:szCs w:val="24"/>
          <w:lang w:val="en-US" w:eastAsia="zh-CN"/>
        </w:rPr>
      </w:pPr>
      <w:r>
        <w:rPr>
          <w:rFonts w:hint="eastAsia" w:ascii="仿宋" w:hAnsi="仿宋" w:eastAsia="仿宋" w:cs="仿宋"/>
          <w:b w:val="0"/>
          <w:bCs w:val="0"/>
          <w:color w:val="auto"/>
          <w:spacing w:val="-6"/>
          <w:kern w:val="0"/>
          <w:sz w:val="24"/>
          <w:szCs w:val="24"/>
          <w:lang w:val="en-US" w:eastAsia="zh-CN"/>
        </w:rPr>
        <w:t>4.征地补偿标准按江西省人民政府公布的最新征地区片综合地价，青苗补偿费按区</w:t>
      </w:r>
    </w:p>
    <w:p w14:paraId="4DC3F5CB">
      <w:pPr>
        <w:pStyle w:val="4"/>
        <w:numPr>
          <w:ilvl w:val="0"/>
          <w:numId w:val="0"/>
        </w:numPr>
        <w:ind w:firstLine="456" w:firstLineChars="200"/>
        <w:jc w:val="both"/>
        <w:rPr>
          <w:rFonts w:hint="default" w:ascii="仿宋" w:hAnsi="仿宋" w:eastAsia="仿宋" w:cs="仿宋"/>
          <w:b w:val="0"/>
          <w:bCs w:val="0"/>
          <w:color w:val="auto"/>
          <w:spacing w:val="-6"/>
          <w:kern w:val="0"/>
          <w:sz w:val="24"/>
          <w:szCs w:val="24"/>
          <w:lang w:val="en-US" w:eastAsia="zh-CN"/>
        </w:rPr>
      </w:pPr>
      <w:r>
        <w:rPr>
          <w:rFonts w:hint="eastAsia" w:ascii="仿宋" w:hAnsi="仿宋" w:eastAsia="仿宋" w:cs="仿宋"/>
          <w:b w:val="0"/>
          <w:bCs w:val="0"/>
          <w:color w:val="auto"/>
          <w:spacing w:val="-6"/>
          <w:kern w:val="0"/>
          <w:sz w:val="24"/>
          <w:szCs w:val="24"/>
          <w:lang w:val="en-US" w:eastAsia="zh-CN"/>
        </w:rPr>
        <w:t>人民政府公布的最新标准执行。</w:t>
      </w:r>
    </w:p>
    <w:p w14:paraId="54B3DAD4">
      <w:pPr>
        <w:rPr>
          <w:rFonts w:hint="eastAsia" w:ascii="仿宋" w:hAnsi="仿宋" w:eastAsia="仿宋" w:cs="仿宋"/>
          <w:b w:val="0"/>
          <w:bCs w:val="0"/>
          <w:color w:val="auto"/>
          <w:spacing w:val="-6"/>
          <w:kern w:val="0"/>
          <w:sz w:val="28"/>
          <w:szCs w:val="28"/>
          <w:lang w:val="en-US" w:eastAsia="zh-CN"/>
        </w:rPr>
      </w:pPr>
      <w:r>
        <w:rPr>
          <w:rFonts w:hint="eastAsia" w:ascii="仿宋" w:hAnsi="仿宋" w:eastAsia="仿宋" w:cs="仿宋"/>
          <w:b w:val="0"/>
          <w:bCs w:val="0"/>
          <w:color w:val="auto"/>
          <w:spacing w:val="-6"/>
          <w:kern w:val="0"/>
          <w:sz w:val="28"/>
          <w:szCs w:val="28"/>
          <w:lang w:val="en-US" w:eastAsia="zh-CN"/>
        </w:rPr>
        <w:br w:type="page"/>
      </w:r>
    </w:p>
    <w:p w14:paraId="7369C88C">
      <w:pPr>
        <w:pStyle w:val="4"/>
        <w:numPr>
          <w:ilvl w:val="0"/>
          <w:numId w:val="0"/>
        </w:numPr>
        <w:jc w:val="both"/>
        <w:rPr>
          <w:rFonts w:hint="eastAsia" w:ascii="黑体" w:hAnsi="黑体" w:eastAsia="黑体" w:cs="黑体"/>
          <w:b w:val="0"/>
          <w:bCs w:val="0"/>
          <w:color w:val="auto"/>
          <w:spacing w:val="-6"/>
          <w:kern w:val="0"/>
          <w:sz w:val="32"/>
          <w:szCs w:val="32"/>
          <w:lang w:val="en-US" w:eastAsia="zh-CN"/>
        </w:rPr>
      </w:pPr>
      <w:r>
        <w:rPr>
          <w:rFonts w:hint="eastAsia" w:ascii="黑体" w:hAnsi="黑体" w:eastAsia="黑体" w:cs="黑体"/>
          <w:b w:val="0"/>
          <w:bCs w:val="0"/>
          <w:color w:val="auto"/>
          <w:spacing w:val="-6"/>
          <w:kern w:val="0"/>
          <w:sz w:val="32"/>
          <w:szCs w:val="32"/>
          <w:lang w:val="en-US" w:eastAsia="zh-CN"/>
        </w:rPr>
        <w:t>附件2</w:t>
      </w:r>
    </w:p>
    <w:p w14:paraId="57A0108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6"/>
          <w:kern w:val="0"/>
          <w:sz w:val="44"/>
          <w:szCs w:val="44"/>
          <w:lang w:val="en-US" w:eastAsia="zh-CN"/>
        </w:rPr>
      </w:pPr>
    </w:p>
    <w:p w14:paraId="06932C8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6"/>
          <w:kern w:val="0"/>
          <w:sz w:val="44"/>
          <w:szCs w:val="44"/>
          <w:lang w:val="en-US" w:eastAsia="zh-CN"/>
        </w:rPr>
      </w:pPr>
      <w:r>
        <w:rPr>
          <w:rFonts w:hint="eastAsia" w:ascii="方正小标宋简体" w:hAnsi="方正小标宋简体" w:eastAsia="方正小标宋简体" w:cs="方正小标宋简体"/>
          <w:b w:val="0"/>
          <w:bCs w:val="0"/>
          <w:color w:val="auto"/>
          <w:spacing w:val="-6"/>
          <w:kern w:val="0"/>
          <w:sz w:val="44"/>
          <w:szCs w:val="44"/>
          <w:lang w:val="en-US" w:eastAsia="zh-CN"/>
        </w:rPr>
        <w:t>赣州市南康区生产生活设施及其他地上</w:t>
      </w:r>
    </w:p>
    <w:p w14:paraId="0B784BB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6"/>
          <w:kern w:val="0"/>
          <w:sz w:val="44"/>
          <w:szCs w:val="44"/>
          <w:lang w:val="en-US" w:eastAsia="zh-CN"/>
        </w:rPr>
      </w:pPr>
      <w:r>
        <w:rPr>
          <w:rFonts w:hint="eastAsia" w:ascii="方正小标宋简体" w:hAnsi="方正小标宋简体" w:eastAsia="方正小标宋简体" w:cs="方正小标宋简体"/>
          <w:b w:val="0"/>
          <w:bCs w:val="0"/>
          <w:color w:val="auto"/>
          <w:spacing w:val="-6"/>
          <w:kern w:val="0"/>
          <w:sz w:val="44"/>
          <w:szCs w:val="44"/>
          <w:lang w:val="en-US" w:eastAsia="zh-CN"/>
        </w:rPr>
        <w:t>附着物补偿标准</w:t>
      </w:r>
    </w:p>
    <w:tbl>
      <w:tblPr>
        <w:tblStyle w:val="9"/>
        <w:tblW w:w="503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64"/>
        <w:gridCol w:w="1913"/>
        <w:gridCol w:w="994"/>
        <w:gridCol w:w="1518"/>
        <w:gridCol w:w="3841"/>
      </w:tblGrid>
      <w:tr w14:paraId="1984F3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blHeader/>
          <w:jc w:val="center"/>
        </w:trPr>
        <w:tc>
          <w:tcPr>
            <w:tcW w:w="473"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89833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序号</w:t>
            </w:r>
          </w:p>
        </w:tc>
        <w:tc>
          <w:tcPr>
            <w:tcW w:w="104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E6E4CD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项目名称</w:t>
            </w:r>
          </w:p>
        </w:tc>
        <w:tc>
          <w:tcPr>
            <w:tcW w:w="544"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6D3F9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单位</w:t>
            </w:r>
          </w:p>
        </w:tc>
        <w:tc>
          <w:tcPr>
            <w:tcW w:w="83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3ABF5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补偿标准（元）</w:t>
            </w:r>
          </w:p>
        </w:tc>
        <w:tc>
          <w:tcPr>
            <w:tcW w:w="210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B48D37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备注</w:t>
            </w:r>
          </w:p>
        </w:tc>
      </w:tr>
      <w:tr w14:paraId="3900E0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024C4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B1641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室外水池</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8EBA8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2BEBF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7986A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508ACB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DD59A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E3456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沼气池</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D7FB8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座</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121C1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2500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0C521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废弃不用的不予补偿。</w:t>
            </w:r>
          </w:p>
        </w:tc>
      </w:tr>
      <w:tr w14:paraId="7F8F82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1A868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02571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砖砌井</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A0480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6AA10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220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D128C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①包括井台及周围水泥地面；②废弃的不予补偿。</w:t>
            </w:r>
          </w:p>
        </w:tc>
      </w:tr>
      <w:tr w14:paraId="2E0BED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CCD3D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4</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797B5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石砌井</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D2D38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9A43A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77E1B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①包括井台及周围水泥地面；②废弃的不予补偿。</w:t>
            </w:r>
          </w:p>
        </w:tc>
      </w:tr>
      <w:tr w14:paraId="73F744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94485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56EE4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土井</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7763F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0975E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ACCAF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废弃水井不予补偿。</w:t>
            </w:r>
          </w:p>
        </w:tc>
      </w:tr>
      <w:tr w14:paraId="33FE4F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88630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7E6E6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机钻井</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4E029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口</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B9932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3000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1EDAE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63FE10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2BF3D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7</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AE854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手压井</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966C1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口</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0C4DD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F3D32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①包括井台及周围水泥地面；②每户限补一座；③废弃的不予补偿。</w:t>
            </w:r>
          </w:p>
        </w:tc>
      </w:tr>
      <w:tr w14:paraId="3720BB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3BD7D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8</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F80E9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粪坑（水泥）</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50A06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1C133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B153F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733133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E9318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9</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D01B4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粪坑（三合土）</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9F17B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C4BFB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39F5B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2B3358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285FF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7AB59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化粪池</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9CD33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E5A51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9A2D9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69FF44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CB9FB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11</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E33B6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砖围墙</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0C6D7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B4CA5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70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4C8C1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3A422C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E79D6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12</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3EE21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土围墙</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5FCB6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26548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45</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6EBDF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22AE5D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ED477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13</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2FA0F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水泥路面</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82D34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C68D0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92F26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241D52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FF0CC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14</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65950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沥青路面</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F6736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405D1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C52B6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36D815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F76B2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15</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50198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沙</w:t>
            </w:r>
            <w:r>
              <w:rPr>
                <w:rFonts w:hint="eastAsia" w:ascii="仿宋" w:hAnsi="仿宋" w:eastAsia="仿宋" w:cs="仿宋"/>
                <w:b w:val="0"/>
                <w:bCs w:val="0"/>
                <w:color w:val="auto"/>
                <w:kern w:val="0"/>
                <w:sz w:val="24"/>
                <w:szCs w:val="24"/>
              </w:rPr>
              <w:t>石路面</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D921C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D75D0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FC4E6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p>
        </w:tc>
      </w:tr>
      <w:tr w14:paraId="003A7B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0491D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16</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B7718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三合土路面</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B88F0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17CA0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15</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1822C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表面平整。</w:t>
            </w:r>
          </w:p>
        </w:tc>
      </w:tr>
      <w:tr w14:paraId="3B4A8C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C838F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17</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D8303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水泥坪</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528DC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3ADFE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35</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A5900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砖石垫层，水泥抹面；贴地砖每平方米增加10元。</w:t>
            </w:r>
          </w:p>
        </w:tc>
      </w:tr>
      <w:tr w14:paraId="6B3510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6F7E7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18</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CEDB8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三合土坪</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32E16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平方米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E7B3B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15</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9C14B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三砂捣制，表面拍光。</w:t>
            </w:r>
          </w:p>
        </w:tc>
      </w:tr>
      <w:tr w14:paraId="481019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6E489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19</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23E54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砖砌八字明沟</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E99AD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54274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40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4762D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按长度计算。</w:t>
            </w:r>
          </w:p>
        </w:tc>
      </w:tr>
      <w:tr w14:paraId="61A47F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FDBDF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20</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8923F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砖砌暗沟</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3A0F2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752AB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AD0D8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按长度计算。</w:t>
            </w:r>
          </w:p>
        </w:tc>
      </w:tr>
      <w:tr w14:paraId="2C0ED8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90238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21</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29E4F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片石护坡（堡坎）</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44F17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A0B69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130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F2FCB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按砌体体积计算。</w:t>
            </w:r>
          </w:p>
        </w:tc>
      </w:tr>
      <w:tr w14:paraId="783F78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CA3E2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22</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2D358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砖砌护坡（堡坎）</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B1ED5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立方米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E7212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150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24D49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按砌体体积计算。</w:t>
            </w:r>
          </w:p>
        </w:tc>
      </w:tr>
      <w:tr w14:paraId="639300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1BC1C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23</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4E975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暗砼涵管</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7C85C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5991D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40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471AB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Φ200毫米以下。</w:t>
            </w:r>
          </w:p>
        </w:tc>
      </w:tr>
      <w:tr w14:paraId="13A0E1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C6303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24</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ABB6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1寸镀锌水管</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98FE1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米</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99B47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50EF8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室内和外墙上的已计入房屋补偿价格，不另补偿。</w:t>
            </w:r>
          </w:p>
        </w:tc>
      </w:tr>
      <w:tr w14:paraId="71E4FD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475A6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25</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E1875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动力线</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BF8C2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米·根</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F8BBA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6A7B4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四线。</w:t>
            </w:r>
          </w:p>
        </w:tc>
      </w:tr>
      <w:tr w14:paraId="3CA88E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D891B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26</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5477C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水泥电杆</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FB079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根</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A82DA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C72C0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10米以上。</w:t>
            </w:r>
          </w:p>
        </w:tc>
      </w:tr>
      <w:tr w14:paraId="104A4D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A6304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27</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8128B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水泥电杆</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EBB9B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根</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D4CF0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800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6867C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8-10米。</w:t>
            </w:r>
          </w:p>
        </w:tc>
      </w:tr>
      <w:tr w14:paraId="46A0F9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29C12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28</w:t>
            </w:r>
          </w:p>
        </w:tc>
        <w:tc>
          <w:tcPr>
            <w:tcW w:w="104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E1190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水泥电杆</w:t>
            </w:r>
          </w:p>
        </w:tc>
        <w:tc>
          <w:tcPr>
            <w:tcW w:w="544"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885D0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根</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44D80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600</w:t>
            </w:r>
          </w:p>
        </w:tc>
        <w:tc>
          <w:tcPr>
            <w:tcW w:w="210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6BB78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8米以下。</w:t>
            </w:r>
          </w:p>
        </w:tc>
      </w:tr>
      <w:tr w14:paraId="0B2627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73"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8DE22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29</w:t>
            </w:r>
          </w:p>
        </w:tc>
        <w:tc>
          <w:tcPr>
            <w:tcW w:w="104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EA9A2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动力电表</w:t>
            </w:r>
          </w:p>
        </w:tc>
        <w:tc>
          <w:tcPr>
            <w:tcW w:w="54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39C53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只</w:t>
            </w:r>
          </w:p>
        </w:tc>
        <w:tc>
          <w:tcPr>
            <w:tcW w:w="831"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2E4D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3000</w:t>
            </w:r>
          </w:p>
        </w:tc>
        <w:tc>
          <w:tcPr>
            <w:tcW w:w="2102"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0877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室外。</w:t>
            </w:r>
          </w:p>
        </w:tc>
      </w:tr>
    </w:tbl>
    <w:p w14:paraId="3C5804E4">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1F4F36B3">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52379A2C">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4075B6BE">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28CBE82B">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26CAF389">
      <w:pPr>
        <w:rPr>
          <w:rFonts w:hint="default" w:ascii="仿宋" w:hAnsi="仿宋" w:eastAsia="仿宋" w:cs="仿宋"/>
          <w:b w:val="0"/>
          <w:bCs w:val="0"/>
          <w:color w:val="auto"/>
          <w:spacing w:val="-6"/>
          <w:kern w:val="0"/>
          <w:sz w:val="28"/>
          <w:szCs w:val="28"/>
          <w:lang w:val="en-US" w:eastAsia="zh-CN"/>
        </w:rPr>
      </w:pPr>
      <w:r>
        <w:rPr>
          <w:rFonts w:hint="default" w:ascii="仿宋" w:hAnsi="仿宋" w:eastAsia="仿宋" w:cs="仿宋"/>
          <w:b w:val="0"/>
          <w:bCs w:val="0"/>
          <w:color w:val="auto"/>
          <w:spacing w:val="-6"/>
          <w:kern w:val="0"/>
          <w:sz w:val="28"/>
          <w:szCs w:val="28"/>
          <w:lang w:val="en-US" w:eastAsia="zh-CN"/>
        </w:rPr>
        <w:br w:type="page"/>
      </w:r>
    </w:p>
    <w:p w14:paraId="1FD20360">
      <w:pPr>
        <w:pStyle w:val="4"/>
        <w:numPr>
          <w:ilvl w:val="0"/>
          <w:numId w:val="0"/>
        </w:numPr>
        <w:jc w:val="both"/>
        <w:rPr>
          <w:rFonts w:hint="eastAsia" w:ascii="黑体" w:hAnsi="黑体" w:eastAsia="黑体" w:cs="黑体"/>
          <w:b w:val="0"/>
          <w:bCs w:val="0"/>
          <w:color w:val="auto"/>
          <w:spacing w:val="-6"/>
          <w:kern w:val="0"/>
          <w:sz w:val="32"/>
          <w:szCs w:val="32"/>
          <w:lang w:val="en-US" w:eastAsia="zh-CN"/>
        </w:rPr>
      </w:pPr>
      <w:r>
        <w:rPr>
          <w:rFonts w:hint="eastAsia" w:ascii="黑体" w:hAnsi="黑体" w:eastAsia="黑体" w:cs="黑体"/>
          <w:b w:val="0"/>
          <w:bCs w:val="0"/>
          <w:color w:val="auto"/>
          <w:spacing w:val="-6"/>
          <w:kern w:val="0"/>
          <w:sz w:val="32"/>
          <w:szCs w:val="32"/>
          <w:lang w:val="en-US" w:eastAsia="zh-CN"/>
        </w:rPr>
        <w:t>附件3</w:t>
      </w:r>
    </w:p>
    <w:p w14:paraId="7AD494A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11"/>
          <w:kern w:val="0"/>
          <w:sz w:val="44"/>
          <w:szCs w:val="44"/>
          <w:lang w:val="en-US" w:eastAsia="zh-CN"/>
        </w:rPr>
      </w:pPr>
    </w:p>
    <w:p w14:paraId="4BAA7C0A">
      <w:pPr>
        <w:pStyle w:val="4"/>
        <w:numPr>
          <w:ilvl w:val="0"/>
          <w:numId w:val="0"/>
        </w:numPr>
        <w:jc w:val="center"/>
        <w:rPr>
          <w:rFonts w:hint="eastAsia" w:ascii="方正小标宋简体" w:hAnsi="方正小标宋简体" w:eastAsia="方正小标宋简体" w:cs="方正小标宋简体"/>
          <w:b w:val="0"/>
          <w:bCs w:val="0"/>
          <w:color w:val="auto"/>
          <w:spacing w:val="-11"/>
          <w:kern w:val="0"/>
          <w:sz w:val="44"/>
          <w:szCs w:val="44"/>
          <w:lang w:val="en-US" w:eastAsia="zh-CN"/>
        </w:rPr>
      </w:pPr>
      <w:r>
        <w:rPr>
          <w:rFonts w:hint="eastAsia" w:ascii="方正小标宋简体" w:hAnsi="方正小标宋简体" w:eastAsia="方正小标宋简体" w:cs="方正小标宋简体"/>
          <w:b w:val="0"/>
          <w:bCs w:val="0"/>
          <w:color w:val="auto"/>
          <w:spacing w:val="-11"/>
          <w:kern w:val="0"/>
          <w:sz w:val="44"/>
          <w:szCs w:val="44"/>
          <w:lang w:val="en-US" w:eastAsia="zh-CN"/>
        </w:rPr>
        <w:t>赣州市南康区征地果树、茶树等青苗补偿标准</w:t>
      </w:r>
    </w:p>
    <w:tbl>
      <w:tblPr>
        <w:tblStyle w:val="9"/>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410"/>
        <w:gridCol w:w="1410"/>
        <w:gridCol w:w="360"/>
        <w:gridCol w:w="1410"/>
        <w:gridCol w:w="1410"/>
        <w:gridCol w:w="1410"/>
      </w:tblGrid>
      <w:tr w14:paraId="777E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226">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品种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056">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已挂果</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单  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DC7E">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未挂果</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单  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BC621">
            <w:pPr>
              <w:jc w:val="center"/>
              <w:rPr>
                <w:rFonts w:hint="eastAsia" w:ascii="黑体" w:hAnsi="黑体" w:eastAsia="黑体" w:cs="黑体"/>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3B12">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品种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058E">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已挂果</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单  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9FC7">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未挂果</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单  价</w:t>
            </w:r>
          </w:p>
        </w:tc>
      </w:tr>
      <w:tr w14:paraId="12E4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8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甜柚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1A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8C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7A8E1">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54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桃树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4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99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30元/株</w:t>
            </w:r>
          </w:p>
        </w:tc>
      </w:tr>
      <w:tr w14:paraId="0BE4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54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脐橙</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5A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C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7B5AC">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C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葡萄</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8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E3F5">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none"/>
                <w:u w:val="none"/>
                <w:lang w:val="en-US" w:eastAsia="zh-CN" w:bidi="ar"/>
              </w:rPr>
              <w:t>60元/株</w:t>
            </w:r>
          </w:p>
        </w:tc>
      </w:tr>
      <w:tr w14:paraId="425E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0F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李树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F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14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3F66A">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FF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板栗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5F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1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30元/株</w:t>
            </w:r>
          </w:p>
        </w:tc>
      </w:tr>
      <w:tr w14:paraId="434C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1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枇杷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71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5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A5869">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B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柿子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0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9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55元/株</w:t>
            </w:r>
          </w:p>
        </w:tc>
      </w:tr>
      <w:tr w14:paraId="70B3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F6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柑桔</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3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E0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657B2">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C77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金柑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67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4E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40元/株</w:t>
            </w:r>
          </w:p>
        </w:tc>
      </w:tr>
      <w:tr w14:paraId="1185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A5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梨树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E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2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1B1B9">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29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枣树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00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92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20元/株</w:t>
            </w:r>
          </w:p>
        </w:tc>
      </w:tr>
      <w:tr w14:paraId="08C1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DE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石榴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C8D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50元/株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3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32468">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A7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油茶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E1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AC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30元/株</w:t>
            </w:r>
          </w:p>
        </w:tc>
      </w:tr>
      <w:tr w14:paraId="3E69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B0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油桐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866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65元/株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65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25元/株</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BFE87">
            <w:pPr>
              <w:jc w:val="center"/>
              <w:rPr>
                <w:rFonts w:hint="eastAsia" w:ascii="仿宋" w:hAnsi="仿宋" w:eastAsia="仿宋" w:cs="仿宋"/>
                <w:i w:val="0"/>
                <w:iCs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63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茶叶</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B29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2000</w:t>
            </w:r>
            <w:r>
              <w:rPr>
                <w:rStyle w:val="13"/>
                <w:rFonts w:hint="eastAsia" w:ascii="仿宋" w:hAnsi="仿宋" w:eastAsia="仿宋" w:cs="仿宋"/>
                <w:color w:val="auto"/>
                <w:sz w:val="24"/>
                <w:szCs w:val="24"/>
                <w:lang w:val="en-US" w:eastAsia="zh-CN" w:bidi="ar"/>
              </w:rPr>
              <w:t>元</w:t>
            </w:r>
            <w:r>
              <w:rPr>
                <w:rStyle w:val="14"/>
                <w:rFonts w:hint="eastAsia" w:ascii="仿宋" w:hAnsi="仿宋" w:eastAsia="仿宋" w:cs="仿宋"/>
                <w:color w:val="auto"/>
                <w:sz w:val="24"/>
                <w:szCs w:val="24"/>
                <w:lang w:val="en-US" w:eastAsia="zh-CN" w:bidi="ar"/>
              </w:rPr>
              <w:t>/</w:t>
            </w:r>
            <w:r>
              <w:rPr>
                <w:rStyle w:val="13"/>
                <w:rFonts w:hint="eastAsia" w:ascii="仿宋" w:hAnsi="仿宋" w:eastAsia="仿宋" w:cs="仿宋"/>
                <w:color w:val="auto"/>
                <w:sz w:val="24"/>
                <w:szCs w:val="24"/>
                <w:lang w:val="en-US" w:eastAsia="zh-CN" w:bidi="ar"/>
              </w:rPr>
              <w:t>亩</w:t>
            </w:r>
          </w:p>
        </w:tc>
      </w:tr>
    </w:tbl>
    <w:p w14:paraId="3B6ECC35">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14AEBD3B">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7C70ACFF">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1B6472BF">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4BBC26DD">
      <w:pPr>
        <w:pStyle w:val="4"/>
        <w:numPr>
          <w:ilvl w:val="0"/>
          <w:numId w:val="0"/>
        </w:numPr>
        <w:jc w:val="both"/>
        <w:rPr>
          <w:rFonts w:hint="default" w:ascii="仿宋" w:hAnsi="仿宋" w:eastAsia="仿宋" w:cs="仿宋"/>
          <w:b w:val="0"/>
          <w:bCs w:val="0"/>
          <w:color w:val="auto"/>
          <w:spacing w:val="-6"/>
          <w:kern w:val="0"/>
          <w:sz w:val="28"/>
          <w:szCs w:val="28"/>
          <w:lang w:val="en-US" w:eastAsia="zh-CN"/>
        </w:rPr>
      </w:pPr>
    </w:p>
    <w:p w14:paraId="34868584">
      <w:pPr>
        <w:rPr>
          <w:rFonts w:hint="default" w:ascii="仿宋" w:hAnsi="仿宋" w:eastAsia="仿宋" w:cs="仿宋"/>
          <w:b w:val="0"/>
          <w:bCs w:val="0"/>
          <w:color w:val="auto"/>
          <w:spacing w:val="-6"/>
          <w:kern w:val="0"/>
          <w:sz w:val="28"/>
          <w:szCs w:val="28"/>
          <w:lang w:val="en-US" w:eastAsia="zh-CN"/>
        </w:rPr>
      </w:pPr>
      <w:r>
        <w:rPr>
          <w:rFonts w:hint="default" w:ascii="仿宋" w:hAnsi="仿宋" w:eastAsia="仿宋" w:cs="仿宋"/>
          <w:b w:val="0"/>
          <w:bCs w:val="0"/>
          <w:color w:val="auto"/>
          <w:spacing w:val="-6"/>
          <w:kern w:val="0"/>
          <w:sz w:val="28"/>
          <w:szCs w:val="28"/>
          <w:lang w:val="en-US" w:eastAsia="zh-CN"/>
        </w:rPr>
        <w:br w:type="page"/>
      </w:r>
    </w:p>
    <w:p w14:paraId="3B5107B2">
      <w:pPr>
        <w:pStyle w:val="4"/>
        <w:numPr>
          <w:ilvl w:val="0"/>
          <w:numId w:val="0"/>
        </w:numPr>
        <w:jc w:val="both"/>
        <w:rPr>
          <w:rFonts w:hint="eastAsia" w:ascii="黑体" w:hAnsi="黑体" w:eastAsia="黑体" w:cs="黑体"/>
          <w:b w:val="0"/>
          <w:bCs w:val="0"/>
          <w:color w:val="auto"/>
          <w:spacing w:val="-6"/>
          <w:kern w:val="0"/>
          <w:sz w:val="32"/>
          <w:szCs w:val="32"/>
          <w:lang w:val="en-US" w:eastAsia="zh-CN"/>
        </w:rPr>
      </w:pPr>
      <w:r>
        <w:rPr>
          <w:rFonts w:hint="eastAsia" w:ascii="黑体" w:hAnsi="黑体" w:eastAsia="黑体" w:cs="黑体"/>
          <w:b w:val="0"/>
          <w:bCs w:val="0"/>
          <w:color w:val="auto"/>
          <w:spacing w:val="-6"/>
          <w:kern w:val="0"/>
          <w:sz w:val="32"/>
          <w:szCs w:val="32"/>
          <w:lang w:val="en-US" w:eastAsia="zh-CN"/>
        </w:rPr>
        <w:t>附件4</w:t>
      </w:r>
    </w:p>
    <w:p w14:paraId="7BE2D56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6"/>
          <w:kern w:val="0"/>
          <w:sz w:val="44"/>
          <w:szCs w:val="44"/>
          <w:lang w:val="en-US" w:eastAsia="zh-CN"/>
        </w:rPr>
      </w:pPr>
    </w:p>
    <w:p w14:paraId="4482043F">
      <w:pPr>
        <w:pStyle w:val="4"/>
        <w:numPr>
          <w:ilvl w:val="0"/>
          <w:numId w:val="0"/>
        </w:numPr>
        <w:jc w:val="center"/>
        <w:rPr>
          <w:rFonts w:hint="default" w:ascii="仿宋" w:hAnsi="仿宋" w:eastAsia="仿宋" w:cs="仿宋"/>
          <w:b w:val="0"/>
          <w:bCs w:val="0"/>
          <w:color w:val="auto"/>
          <w:spacing w:val="-6"/>
          <w:kern w:val="0"/>
          <w:sz w:val="28"/>
          <w:szCs w:val="28"/>
          <w:lang w:val="en-US" w:eastAsia="zh-CN"/>
        </w:rPr>
      </w:pPr>
      <w:r>
        <w:rPr>
          <w:rFonts w:hint="eastAsia" w:ascii="方正小标宋简体" w:hAnsi="方正小标宋简体" w:eastAsia="方正小标宋简体" w:cs="方正小标宋简体"/>
          <w:b w:val="0"/>
          <w:bCs w:val="0"/>
          <w:color w:val="auto"/>
          <w:spacing w:val="-6"/>
          <w:kern w:val="0"/>
          <w:sz w:val="44"/>
          <w:szCs w:val="44"/>
          <w:lang w:val="en-US" w:eastAsia="zh-CN"/>
        </w:rPr>
        <w:t>赣州市南康区坟墓迁移补偿、奖励标准</w:t>
      </w:r>
    </w:p>
    <w:tbl>
      <w:tblPr>
        <w:tblStyle w:val="9"/>
        <w:tblW w:w="5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8"/>
        <w:gridCol w:w="1669"/>
        <w:gridCol w:w="744"/>
        <w:gridCol w:w="1337"/>
        <w:gridCol w:w="1342"/>
        <w:gridCol w:w="1642"/>
        <w:gridCol w:w="2747"/>
      </w:tblGrid>
      <w:tr w14:paraId="1E4C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361" w:type="pct"/>
            <w:vMerge w:val="restart"/>
            <w:tcBorders>
              <w:top w:val="single" w:color="auto" w:sz="4" w:space="0"/>
              <w:left w:val="single" w:color="auto" w:sz="4" w:space="0"/>
              <w:bottom w:val="single" w:color="auto" w:sz="4" w:space="0"/>
              <w:right w:val="single" w:color="auto" w:sz="4" w:space="0"/>
            </w:tcBorders>
            <w:noWrap w:val="0"/>
            <w:vAlign w:val="center"/>
          </w:tcPr>
          <w:p w14:paraId="11043E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序号</w:t>
            </w:r>
          </w:p>
        </w:tc>
        <w:tc>
          <w:tcPr>
            <w:tcW w:w="816" w:type="pct"/>
            <w:vMerge w:val="restart"/>
            <w:tcBorders>
              <w:top w:val="single" w:color="auto" w:sz="4" w:space="0"/>
              <w:left w:val="single" w:color="auto" w:sz="4" w:space="0"/>
              <w:bottom w:val="single" w:color="auto" w:sz="4" w:space="0"/>
              <w:right w:val="single" w:color="auto" w:sz="4" w:space="0"/>
            </w:tcBorders>
            <w:noWrap w:val="0"/>
            <w:vAlign w:val="center"/>
          </w:tcPr>
          <w:p w14:paraId="2FFC6EA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项目名称</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14:paraId="37CB13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单位</w:t>
            </w:r>
          </w:p>
        </w:tc>
        <w:tc>
          <w:tcPr>
            <w:tcW w:w="654" w:type="pct"/>
            <w:vMerge w:val="restart"/>
            <w:tcBorders>
              <w:top w:val="single" w:color="auto" w:sz="4" w:space="0"/>
              <w:left w:val="single" w:color="auto" w:sz="4" w:space="0"/>
              <w:bottom w:val="single" w:color="auto" w:sz="4" w:space="0"/>
              <w:right w:val="single" w:color="auto" w:sz="4" w:space="0"/>
            </w:tcBorders>
            <w:noWrap w:val="0"/>
            <w:vAlign w:val="center"/>
          </w:tcPr>
          <w:p w14:paraId="5989E1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补偿标准</w:t>
            </w:r>
          </w:p>
          <w:p w14:paraId="17ECAF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（元）</w:t>
            </w:r>
          </w:p>
        </w:tc>
        <w:tc>
          <w:tcPr>
            <w:tcW w:w="1459" w:type="pct"/>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E49B2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按时迁移奖励（元）</w:t>
            </w:r>
          </w:p>
        </w:tc>
        <w:tc>
          <w:tcPr>
            <w:tcW w:w="1343" w:type="pct"/>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0BFD8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备注</w:t>
            </w:r>
          </w:p>
        </w:tc>
      </w:tr>
      <w:tr w14:paraId="3FDC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361" w:type="pct"/>
            <w:vMerge w:val="continue"/>
            <w:tcBorders>
              <w:top w:val="single" w:color="auto" w:sz="4" w:space="0"/>
              <w:left w:val="single" w:color="auto" w:sz="4" w:space="0"/>
              <w:bottom w:val="single" w:color="auto" w:sz="4" w:space="0"/>
              <w:right w:val="single" w:color="auto" w:sz="4" w:space="0"/>
            </w:tcBorders>
            <w:noWrap w:val="0"/>
            <w:vAlign w:val="center"/>
          </w:tcPr>
          <w:p w14:paraId="0B1A08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p>
        </w:tc>
        <w:tc>
          <w:tcPr>
            <w:tcW w:w="816" w:type="pct"/>
            <w:vMerge w:val="continue"/>
            <w:tcBorders>
              <w:top w:val="single" w:color="auto" w:sz="4" w:space="0"/>
              <w:left w:val="single" w:color="auto" w:sz="4" w:space="0"/>
              <w:bottom w:val="single" w:color="auto" w:sz="4" w:space="0"/>
              <w:right w:val="single" w:color="auto" w:sz="4" w:space="0"/>
            </w:tcBorders>
            <w:noWrap w:val="0"/>
            <w:vAlign w:val="center"/>
          </w:tcPr>
          <w:p w14:paraId="301A4A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14:paraId="4886E2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p>
        </w:tc>
        <w:tc>
          <w:tcPr>
            <w:tcW w:w="654" w:type="pct"/>
            <w:vMerge w:val="continue"/>
            <w:tcBorders>
              <w:top w:val="single" w:color="auto" w:sz="4" w:space="0"/>
              <w:left w:val="single" w:color="auto" w:sz="4" w:space="0"/>
              <w:bottom w:val="single" w:color="auto" w:sz="4" w:space="0"/>
              <w:right w:val="single" w:color="auto" w:sz="4" w:space="0"/>
            </w:tcBorders>
            <w:noWrap w:val="0"/>
            <w:vAlign w:val="center"/>
          </w:tcPr>
          <w:p w14:paraId="315F37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p>
        </w:tc>
        <w:tc>
          <w:tcPr>
            <w:tcW w:w="65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8E429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第一阶段</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127DE1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r>
              <w:rPr>
                <w:rFonts w:hint="eastAsia" w:ascii="宋体" w:hAnsi="宋体" w:eastAsia="黑体" w:cs="黑体"/>
                <w:b w:val="0"/>
                <w:bCs w:val="0"/>
                <w:color w:val="auto"/>
                <w:kern w:val="0"/>
                <w:sz w:val="24"/>
                <w:szCs w:val="24"/>
              </w:rPr>
              <w:t>第二阶段</w:t>
            </w:r>
          </w:p>
        </w:tc>
        <w:tc>
          <w:tcPr>
            <w:tcW w:w="1343" w:type="pct"/>
            <w:vMerge w:val="continue"/>
            <w:tcBorders>
              <w:top w:val="single" w:color="auto" w:sz="4" w:space="0"/>
              <w:left w:val="single" w:color="auto" w:sz="4" w:space="0"/>
              <w:bottom w:val="single" w:color="auto" w:sz="4" w:space="0"/>
              <w:right w:val="single" w:color="auto" w:sz="4" w:space="0"/>
            </w:tcBorders>
            <w:noWrap w:val="0"/>
            <w:vAlign w:val="center"/>
          </w:tcPr>
          <w:p w14:paraId="4AA4A7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黑体" w:cs="黑体"/>
                <w:b w:val="0"/>
                <w:bCs w:val="0"/>
                <w:color w:val="auto"/>
                <w:kern w:val="0"/>
                <w:sz w:val="24"/>
                <w:szCs w:val="24"/>
              </w:rPr>
            </w:pPr>
          </w:p>
        </w:tc>
      </w:tr>
      <w:tr w14:paraId="2110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4" w:hRule="atLeast"/>
          <w:jc w:val="center"/>
        </w:trPr>
        <w:tc>
          <w:tcPr>
            <w:tcW w:w="36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B83F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81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75FE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祖坟</w:t>
            </w:r>
          </w:p>
        </w:tc>
        <w:tc>
          <w:tcPr>
            <w:tcW w:w="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C8FC6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冢</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487061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12000</w:t>
            </w:r>
          </w:p>
        </w:tc>
        <w:tc>
          <w:tcPr>
            <w:tcW w:w="656" w:type="pct"/>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3395FE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300</w:t>
            </w:r>
          </w:p>
        </w:tc>
        <w:tc>
          <w:tcPr>
            <w:tcW w:w="802" w:type="pct"/>
            <w:vMerge w:val="restart"/>
            <w:tcBorders>
              <w:top w:val="single" w:color="auto" w:sz="4" w:space="0"/>
              <w:left w:val="single" w:color="auto" w:sz="4" w:space="0"/>
              <w:right w:val="single" w:color="auto" w:sz="4" w:space="0"/>
            </w:tcBorders>
            <w:noWrap w:val="0"/>
            <w:vAlign w:val="center"/>
          </w:tcPr>
          <w:p w14:paraId="6F0287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100</w:t>
            </w:r>
          </w:p>
        </w:tc>
        <w:tc>
          <w:tcPr>
            <w:tcW w:w="1343" w:type="pct"/>
            <w:tcBorders>
              <w:top w:val="single" w:color="auto" w:sz="4" w:space="0"/>
              <w:left w:val="single" w:color="auto" w:sz="4" w:space="0"/>
              <w:bottom w:val="single" w:color="auto" w:sz="4" w:space="0"/>
              <w:right w:val="single" w:color="auto" w:sz="4" w:space="0"/>
            </w:tcBorders>
            <w:noWrap w:val="0"/>
            <w:vAlign w:val="center"/>
          </w:tcPr>
          <w:p w14:paraId="0E08082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对同一姓氏在同一个屋场且居住百年以上，建有一个祠堂的，认定一冢祖坟，作一次补偿，以族谱为准。</w:t>
            </w:r>
          </w:p>
        </w:tc>
      </w:tr>
      <w:tr w14:paraId="5F3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36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4CCD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en-US" w:eastAsia="zh-CN"/>
              </w:rPr>
              <w:t>2</w:t>
            </w:r>
          </w:p>
        </w:tc>
        <w:tc>
          <w:tcPr>
            <w:tcW w:w="81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8A7F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有挂面坟墓</w:t>
            </w:r>
          </w:p>
        </w:tc>
        <w:tc>
          <w:tcPr>
            <w:tcW w:w="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0E43E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冢</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24C990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u w:val="single"/>
              </w:rPr>
            </w:pPr>
            <w:r>
              <w:rPr>
                <w:rFonts w:hint="eastAsia" w:ascii="仿宋" w:hAnsi="仿宋" w:eastAsia="仿宋" w:cs="仿宋"/>
                <w:b w:val="0"/>
                <w:bCs w:val="0"/>
                <w:color w:val="auto"/>
                <w:sz w:val="24"/>
                <w:szCs w:val="24"/>
              </w:rPr>
              <w:t>3000</w:t>
            </w:r>
          </w:p>
        </w:tc>
        <w:tc>
          <w:tcPr>
            <w:tcW w:w="656" w:type="pct"/>
            <w:vMerge w:val="continue"/>
            <w:tcBorders>
              <w:left w:val="single" w:color="auto" w:sz="4" w:space="0"/>
              <w:right w:val="single" w:color="auto" w:sz="4" w:space="0"/>
            </w:tcBorders>
            <w:noWrap w:val="0"/>
            <w:tcMar>
              <w:top w:w="0" w:type="dxa"/>
              <w:left w:w="108" w:type="dxa"/>
              <w:bottom w:w="0" w:type="dxa"/>
              <w:right w:w="108" w:type="dxa"/>
            </w:tcMar>
            <w:vAlign w:val="center"/>
          </w:tcPr>
          <w:p w14:paraId="42F013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p>
        </w:tc>
        <w:tc>
          <w:tcPr>
            <w:tcW w:w="802" w:type="pct"/>
            <w:vMerge w:val="continue"/>
            <w:tcBorders>
              <w:left w:val="single" w:color="auto" w:sz="4" w:space="0"/>
              <w:right w:val="single" w:color="auto" w:sz="4" w:space="0"/>
            </w:tcBorders>
            <w:noWrap w:val="0"/>
            <w:vAlign w:val="center"/>
          </w:tcPr>
          <w:p w14:paraId="1730F0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p>
        </w:tc>
        <w:tc>
          <w:tcPr>
            <w:tcW w:w="1343" w:type="pct"/>
            <w:vMerge w:val="restart"/>
            <w:tcBorders>
              <w:top w:val="single" w:color="auto" w:sz="4" w:space="0"/>
              <w:left w:val="single" w:color="auto" w:sz="4" w:space="0"/>
              <w:bottom w:val="single" w:color="auto" w:sz="4" w:space="0"/>
              <w:right w:val="single" w:color="auto" w:sz="4" w:space="0"/>
            </w:tcBorders>
            <w:noWrap w:val="0"/>
            <w:vAlign w:val="center"/>
          </w:tcPr>
          <w:p w14:paraId="374C731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同穴每多一头骨的，补偿标准增加500元。</w:t>
            </w:r>
          </w:p>
        </w:tc>
      </w:tr>
      <w:tr w14:paraId="0234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8" w:hRule="atLeast"/>
          <w:jc w:val="center"/>
        </w:trPr>
        <w:tc>
          <w:tcPr>
            <w:tcW w:w="361"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25457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en-US" w:eastAsia="zh-CN"/>
              </w:rPr>
              <w:t>3</w:t>
            </w:r>
          </w:p>
        </w:tc>
        <w:tc>
          <w:tcPr>
            <w:tcW w:w="81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32B31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无挂面坟墓</w:t>
            </w:r>
          </w:p>
        </w:tc>
        <w:tc>
          <w:tcPr>
            <w:tcW w:w="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0CA4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冢</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19642E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2000</w:t>
            </w:r>
          </w:p>
        </w:tc>
        <w:tc>
          <w:tcPr>
            <w:tcW w:w="656" w:type="pct"/>
            <w:vMerge w:val="continue"/>
            <w:tcBorders>
              <w:left w:val="single" w:color="auto" w:sz="4" w:space="0"/>
              <w:bottom w:val="single" w:color="auto" w:sz="4" w:space="0"/>
              <w:right w:val="single" w:color="auto" w:sz="4" w:space="0"/>
            </w:tcBorders>
            <w:noWrap w:val="0"/>
            <w:vAlign w:val="center"/>
          </w:tcPr>
          <w:p w14:paraId="34257B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0"/>
                <w:sz w:val="24"/>
                <w:szCs w:val="24"/>
              </w:rPr>
            </w:pPr>
          </w:p>
        </w:tc>
        <w:tc>
          <w:tcPr>
            <w:tcW w:w="802" w:type="pct"/>
            <w:vMerge w:val="continue"/>
            <w:tcBorders>
              <w:left w:val="single" w:color="auto" w:sz="4" w:space="0"/>
              <w:bottom w:val="single" w:color="auto" w:sz="4" w:space="0"/>
              <w:right w:val="single" w:color="auto" w:sz="4" w:space="0"/>
            </w:tcBorders>
            <w:noWrap w:val="0"/>
            <w:vAlign w:val="center"/>
          </w:tcPr>
          <w:p w14:paraId="0F45B9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0"/>
                <w:sz w:val="24"/>
                <w:szCs w:val="24"/>
              </w:rPr>
            </w:pPr>
          </w:p>
        </w:tc>
        <w:tc>
          <w:tcPr>
            <w:tcW w:w="1343" w:type="pct"/>
            <w:vMerge w:val="continue"/>
            <w:tcBorders>
              <w:top w:val="single" w:color="auto" w:sz="4" w:space="0"/>
              <w:left w:val="single" w:color="auto" w:sz="4" w:space="0"/>
              <w:bottom w:val="single" w:color="auto" w:sz="4" w:space="0"/>
              <w:right w:val="single" w:color="auto" w:sz="4" w:space="0"/>
            </w:tcBorders>
            <w:noWrap w:val="0"/>
            <w:vAlign w:val="center"/>
          </w:tcPr>
          <w:p w14:paraId="790E03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0"/>
                <w:sz w:val="24"/>
                <w:szCs w:val="24"/>
              </w:rPr>
            </w:pPr>
          </w:p>
        </w:tc>
      </w:tr>
    </w:tbl>
    <w:p w14:paraId="009CA487">
      <w:pPr>
        <w:pStyle w:val="4"/>
        <w:numPr>
          <w:ilvl w:val="0"/>
          <w:numId w:val="0"/>
        </w:numPr>
        <w:jc w:val="both"/>
        <w:rPr>
          <w:rFonts w:hint="default" w:ascii="仿宋" w:hAnsi="仿宋" w:eastAsia="仿宋" w:cs="仿宋"/>
          <w:b w:val="0"/>
          <w:bCs w:val="0"/>
          <w:color w:val="auto"/>
          <w:spacing w:val="-6"/>
          <w:kern w:val="0"/>
          <w:sz w:val="28"/>
          <w:szCs w:val="28"/>
          <w:lang w:val="en-US" w:eastAsia="zh-CN"/>
        </w:rPr>
      </w:pPr>
      <w:r>
        <w:rPr>
          <w:rFonts w:hint="eastAsia" w:ascii="仿宋" w:hAnsi="仿宋" w:eastAsia="仿宋" w:cs="仿宋"/>
          <w:b w:val="0"/>
          <w:bCs w:val="0"/>
          <w:color w:val="auto"/>
          <w:spacing w:val="-6"/>
          <w:kern w:val="0"/>
          <w:sz w:val="28"/>
          <w:szCs w:val="28"/>
          <w:lang w:val="en-US" w:eastAsia="zh-CN"/>
        </w:rPr>
        <w:t>注：</w:t>
      </w:r>
      <w:r>
        <w:rPr>
          <w:rFonts w:hint="eastAsia" w:ascii="仿宋" w:hAnsi="仿宋" w:eastAsia="仿宋" w:cs="仿宋"/>
          <w:b w:val="0"/>
          <w:bCs w:val="0"/>
          <w:color w:val="auto"/>
          <w:kern w:val="0"/>
          <w:sz w:val="28"/>
          <w:szCs w:val="28"/>
          <w:lang w:val="en-US" w:eastAsia="zh-CN"/>
        </w:rPr>
        <w:t>按时迁移的阶段时间以征收实施单位公告规定的时间为准</w:t>
      </w:r>
      <w:r>
        <w:rPr>
          <w:rFonts w:hint="eastAsia" w:ascii="仿宋" w:hAnsi="仿宋" w:eastAsia="仿宋" w:cs="仿宋"/>
          <w:b w:val="0"/>
          <w:bCs w:val="0"/>
          <w:color w:val="auto"/>
          <w:kern w:val="0"/>
          <w:sz w:val="28"/>
          <w:szCs w:val="28"/>
        </w:rPr>
        <w:t>。</w:t>
      </w:r>
    </w:p>
    <w:p w14:paraId="4A7A5F89">
      <w:pPr>
        <w:pStyle w:val="4"/>
        <w:keepNext w:val="0"/>
        <w:keepLines w:val="0"/>
        <w:pageBreakBefore w:val="0"/>
        <w:widowControl w:val="0"/>
        <w:numPr>
          <w:ilvl w:val="0"/>
          <w:numId w:val="0"/>
        </w:numPr>
        <w:kinsoku/>
        <w:wordWrap/>
        <w:overflowPunct/>
        <w:topLinePunct w:val="0"/>
        <w:autoSpaceDE/>
        <w:autoSpaceDN/>
        <w:bidi w:val="0"/>
        <w:adjustRightInd/>
        <w:snapToGrid/>
        <w:spacing w:line="800" w:lineRule="exact"/>
        <w:jc w:val="both"/>
        <w:textAlignment w:val="auto"/>
        <w:rPr>
          <w:rFonts w:hint="default" w:ascii="仿宋" w:hAnsi="仿宋" w:eastAsia="仿宋" w:cs="仿宋"/>
          <w:b w:val="0"/>
          <w:bCs w:val="0"/>
          <w:color w:val="auto"/>
          <w:spacing w:val="-6"/>
          <w:kern w:val="0"/>
          <w:sz w:val="32"/>
          <w:szCs w:val="32"/>
          <w:lang w:val="en-US" w:eastAsia="zh-CN"/>
        </w:rPr>
      </w:pPr>
    </w:p>
    <w:p w14:paraId="507FB13A">
      <w:pPr>
        <w:pStyle w:val="4"/>
        <w:keepNext w:val="0"/>
        <w:keepLines w:val="0"/>
        <w:pageBreakBefore w:val="0"/>
        <w:widowControl w:val="0"/>
        <w:numPr>
          <w:ilvl w:val="0"/>
          <w:numId w:val="0"/>
        </w:numPr>
        <w:kinsoku/>
        <w:wordWrap/>
        <w:overflowPunct/>
        <w:topLinePunct w:val="0"/>
        <w:autoSpaceDE/>
        <w:autoSpaceDN/>
        <w:bidi w:val="0"/>
        <w:adjustRightInd/>
        <w:snapToGrid/>
        <w:spacing w:line="800" w:lineRule="exact"/>
        <w:jc w:val="both"/>
        <w:textAlignment w:val="auto"/>
        <w:rPr>
          <w:rFonts w:hint="default" w:ascii="仿宋" w:hAnsi="仿宋" w:eastAsia="仿宋" w:cs="仿宋"/>
          <w:b w:val="0"/>
          <w:bCs w:val="0"/>
          <w:color w:val="auto"/>
          <w:spacing w:val="-6"/>
          <w:kern w:val="0"/>
          <w:sz w:val="32"/>
          <w:szCs w:val="32"/>
          <w:lang w:val="en-US" w:eastAsia="zh-CN"/>
        </w:rPr>
      </w:pPr>
    </w:p>
    <w:p w14:paraId="1D9EE54A">
      <w:pPr>
        <w:spacing w:line="520" w:lineRule="exact"/>
        <w:ind w:right="-153" w:rightChars="-73" w:firstLine="105" w:firstLineChars="50"/>
        <w:rPr>
          <w:rFonts w:hint="default" w:ascii="仿宋" w:hAnsi="仿宋" w:eastAsia="仿宋" w:cs="仿宋"/>
          <w:b w:val="0"/>
          <w:bCs w:val="0"/>
          <w:color w:val="auto"/>
          <w:spacing w:val="-6"/>
          <w:kern w:val="0"/>
          <w:sz w:val="28"/>
          <w:szCs w:val="28"/>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386080</wp:posOffset>
                </wp:positionV>
                <wp:extent cx="5486400" cy="0"/>
                <wp:effectExtent l="0" t="7620" r="0" b="8255"/>
                <wp:wrapNone/>
                <wp:docPr id="3" name="直线 4"/>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0.4pt;height:0pt;width:432pt;z-index:251659264;mso-width-relative:page;mso-height-relative:page;" filled="f" stroked="t" coordsize="21600,21600" o:gfxdata="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0OQqM1AAA&#10;AAYBAAAPAAAAAAAAAAEAIAAAACIAAABkcnMvZG93bnJldi54bWxQSwECFAAUAAAACACHTuJA3IuS&#10;uekBAADcAwAADgAAAAAAAAABACAAAAAjAQAAZHJzL2Uyb0RvYy54bWxQSwUGAAAAAAYABgBZAQAA&#10;fg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41275</wp:posOffset>
                </wp:positionV>
                <wp:extent cx="5486400" cy="0"/>
                <wp:effectExtent l="0" t="6350" r="0" b="6350"/>
                <wp:wrapNone/>
                <wp:docPr id="4" name="直线 5"/>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25pt;height:0pt;width:432pt;z-index:251660288;mso-width-relative:page;mso-height-relative:page;" filled="f" stroked="t" coordsize="21600,21600" o:gfxdata="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n09MNMAAAAE&#10;AQAADwAAAAAAAAABACAAAAAiAAAAZHJzL2Rvd25yZXYueG1sUEsBAhQAFAAAAAgAh07iQB6neoP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仿宋" w:hAnsi="仿宋" w:eastAsia="仿宋" w:cs="仿宋"/>
          <w:sz w:val="28"/>
          <w:szCs w:val="28"/>
        </w:rPr>
        <w:t>赣州市南康区人民政府办公室</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日印发</w:t>
      </w: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8E8F">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4224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F4224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MzMDgyN2Y2NzdiM2UwZTQ3NzVlYTY5NjdlNDIifQ=="/>
  </w:docVars>
  <w:rsids>
    <w:rsidRoot w:val="00000000"/>
    <w:rsid w:val="00C6664C"/>
    <w:rsid w:val="00FD0FA8"/>
    <w:rsid w:val="015C4F07"/>
    <w:rsid w:val="01F33470"/>
    <w:rsid w:val="029562D6"/>
    <w:rsid w:val="02BF77F6"/>
    <w:rsid w:val="03465822"/>
    <w:rsid w:val="044A6E51"/>
    <w:rsid w:val="04516D24"/>
    <w:rsid w:val="04575F38"/>
    <w:rsid w:val="048900BC"/>
    <w:rsid w:val="049E5B69"/>
    <w:rsid w:val="04C17856"/>
    <w:rsid w:val="05C8263E"/>
    <w:rsid w:val="06C62AE7"/>
    <w:rsid w:val="07000960"/>
    <w:rsid w:val="0748600C"/>
    <w:rsid w:val="08F85810"/>
    <w:rsid w:val="0B6251C3"/>
    <w:rsid w:val="0B6D6042"/>
    <w:rsid w:val="0B783010"/>
    <w:rsid w:val="0BC63A93"/>
    <w:rsid w:val="0BD75BB1"/>
    <w:rsid w:val="0C7E50EA"/>
    <w:rsid w:val="0D5C1888"/>
    <w:rsid w:val="0DE6032D"/>
    <w:rsid w:val="0EA0228A"/>
    <w:rsid w:val="0F2729AB"/>
    <w:rsid w:val="0F7F410D"/>
    <w:rsid w:val="0F8676D2"/>
    <w:rsid w:val="102B14E4"/>
    <w:rsid w:val="1053332C"/>
    <w:rsid w:val="10CC3E59"/>
    <w:rsid w:val="116243FB"/>
    <w:rsid w:val="12546A52"/>
    <w:rsid w:val="1272218F"/>
    <w:rsid w:val="12B82FD5"/>
    <w:rsid w:val="12BE3627"/>
    <w:rsid w:val="12D60970"/>
    <w:rsid w:val="13207C6A"/>
    <w:rsid w:val="13A10F7E"/>
    <w:rsid w:val="14123C2A"/>
    <w:rsid w:val="1468384A"/>
    <w:rsid w:val="147A79ED"/>
    <w:rsid w:val="147C605C"/>
    <w:rsid w:val="147E12BF"/>
    <w:rsid w:val="15595889"/>
    <w:rsid w:val="15A9236C"/>
    <w:rsid w:val="15F941AB"/>
    <w:rsid w:val="16866209"/>
    <w:rsid w:val="17C4348D"/>
    <w:rsid w:val="19D96F98"/>
    <w:rsid w:val="1A3348FA"/>
    <w:rsid w:val="1AE479A2"/>
    <w:rsid w:val="1B697EA8"/>
    <w:rsid w:val="1B7927E1"/>
    <w:rsid w:val="1BCB2D28"/>
    <w:rsid w:val="1C5D0BEE"/>
    <w:rsid w:val="1CFF2872"/>
    <w:rsid w:val="1D444728"/>
    <w:rsid w:val="1DB032BC"/>
    <w:rsid w:val="1E7C2FAF"/>
    <w:rsid w:val="1EEB532C"/>
    <w:rsid w:val="1EF755BA"/>
    <w:rsid w:val="1F330EF8"/>
    <w:rsid w:val="1FAF67D1"/>
    <w:rsid w:val="20872DF2"/>
    <w:rsid w:val="20D14525"/>
    <w:rsid w:val="20D90C6A"/>
    <w:rsid w:val="21935C7E"/>
    <w:rsid w:val="21BE719F"/>
    <w:rsid w:val="22160D89"/>
    <w:rsid w:val="222E5454"/>
    <w:rsid w:val="22C54F27"/>
    <w:rsid w:val="22FE7734"/>
    <w:rsid w:val="234C3FAD"/>
    <w:rsid w:val="238B4E5F"/>
    <w:rsid w:val="23DF164F"/>
    <w:rsid w:val="245A4C34"/>
    <w:rsid w:val="248024EA"/>
    <w:rsid w:val="26221809"/>
    <w:rsid w:val="2685203A"/>
    <w:rsid w:val="270013AE"/>
    <w:rsid w:val="285C6DCA"/>
    <w:rsid w:val="29C9048F"/>
    <w:rsid w:val="2A0C4820"/>
    <w:rsid w:val="2A3F0751"/>
    <w:rsid w:val="2A59604D"/>
    <w:rsid w:val="2A6241EB"/>
    <w:rsid w:val="2AB56C65"/>
    <w:rsid w:val="2BA016C4"/>
    <w:rsid w:val="2C302A48"/>
    <w:rsid w:val="2C5801F0"/>
    <w:rsid w:val="2C6B7F24"/>
    <w:rsid w:val="2CB25B52"/>
    <w:rsid w:val="2CE34819"/>
    <w:rsid w:val="2D436988"/>
    <w:rsid w:val="2E271C28"/>
    <w:rsid w:val="2E3507E9"/>
    <w:rsid w:val="2E5844D8"/>
    <w:rsid w:val="2E7F7CB6"/>
    <w:rsid w:val="2F005D9A"/>
    <w:rsid w:val="30182170"/>
    <w:rsid w:val="31046251"/>
    <w:rsid w:val="31093867"/>
    <w:rsid w:val="3125565D"/>
    <w:rsid w:val="31AC0DC2"/>
    <w:rsid w:val="31E970A4"/>
    <w:rsid w:val="3321758E"/>
    <w:rsid w:val="343E7CCC"/>
    <w:rsid w:val="349124F1"/>
    <w:rsid w:val="35B53FBD"/>
    <w:rsid w:val="35E054DE"/>
    <w:rsid w:val="36794FEB"/>
    <w:rsid w:val="36D466C5"/>
    <w:rsid w:val="370E1BD7"/>
    <w:rsid w:val="38A02D03"/>
    <w:rsid w:val="38EF4488"/>
    <w:rsid w:val="392C0A3B"/>
    <w:rsid w:val="39F63F29"/>
    <w:rsid w:val="3ACA04E7"/>
    <w:rsid w:val="3C9438E0"/>
    <w:rsid w:val="3CEC29BB"/>
    <w:rsid w:val="3D361E81"/>
    <w:rsid w:val="3D592732"/>
    <w:rsid w:val="3D657500"/>
    <w:rsid w:val="3DA70690"/>
    <w:rsid w:val="3E1000F5"/>
    <w:rsid w:val="3E817133"/>
    <w:rsid w:val="3E8F6071"/>
    <w:rsid w:val="3EE94258"/>
    <w:rsid w:val="3F917849"/>
    <w:rsid w:val="42B613F1"/>
    <w:rsid w:val="42DD10FB"/>
    <w:rsid w:val="438576C5"/>
    <w:rsid w:val="43BD2088"/>
    <w:rsid w:val="44136A7F"/>
    <w:rsid w:val="441E4487"/>
    <w:rsid w:val="45C06792"/>
    <w:rsid w:val="46A95479"/>
    <w:rsid w:val="47D93B3C"/>
    <w:rsid w:val="48735D3E"/>
    <w:rsid w:val="487D6BBD"/>
    <w:rsid w:val="4880045B"/>
    <w:rsid w:val="48FF5824"/>
    <w:rsid w:val="498F4DFA"/>
    <w:rsid w:val="4A300E2A"/>
    <w:rsid w:val="4A314103"/>
    <w:rsid w:val="4A873D23"/>
    <w:rsid w:val="4A8835F7"/>
    <w:rsid w:val="4B3043BA"/>
    <w:rsid w:val="4B9A5CD8"/>
    <w:rsid w:val="4DAD3AA0"/>
    <w:rsid w:val="4E0F475B"/>
    <w:rsid w:val="4F6B3C13"/>
    <w:rsid w:val="4FF736F9"/>
    <w:rsid w:val="51453FF0"/>
    <w:rsid w:val="514B3CFC"/>
    <w:rsid w:val="516923D4"/>
    <w:rsid w:val="51DB35F1"/>
    <w:rsid w:val="51F577C4"/>
    <w:rsid w:val="520E2E26"/>
    <w:rsid w:val="52DB10B0"/>
    <w:rsid w:val="5324020D"/>
    <w:rsid w:val="53511372"/>
    <w:rsid w:val="53740BBC"/>
    <w:rsid w:val="53BB67EB"/>
    <w:rsid w:val="54505185"/>
    <w:rsid w:val="54A51975"/>
    <w:rsid w:val="54F77FFB"/>
    <w:rsid w:val="554C0043"/>
    <w:rsid w:val="55603AEE"/>
    <w:rsid w:val="557B4484"/>
    <w:rsid w:val="55CE40CE"/>
    <w:rsid w:val="55DB250D"/>
    <w:rsid w:val="5617627F"/>
    <w:rsid w:val="56712761"/>
    <w:rsid w:val="57BD5228"/>
    <w:rsid w:val="590B1FC3"/>
    <w:rsid w:val="59626C09"/>
    <w:rsid w:val="59657925"/>
    <w:rsid w:val="59F64A21"/>
    <w:rsid w:val="5A126853"/>
    <w:rsid w:val="5A186745"/>
    <w:rsid w:val="5AEC4692"/>
    <w:rsid w:val="5BC62EA9"/>
    <w:rsid w:val="5C50666A"/>
    <w:rsid w:val="5C6C2D78"/>
    <w:rsid w:val="5C732359"/>
    <w:rsid w:val="5D417D61"/>
    <w:rsid w:val="5D487342"/>
    <w:rsid w:val="5E196F30"/>
    <w:rsid w:val="5E2814C4"/>
    <w:rsid w:val="5E3D2C1E"/>
    <w:rsid w:val="5E8E5228"/>
    <w:rsid w:val="5FC30F01"/>
    <w:rsid w:val="602120CC"/>
    <w:rsid w:val="61D73548"/>
    <w:rsid w:val="621C2B4B"/>
    <w:rsid w:val="62AC0373"/>
    <w:rsid w:val="62BC7E8A"/>
    <w:rsid w:val="63BC2837"/>
    <w:rsid w:val="63F773CC"/>
    <w:rsid w:val="640E60C9"/>
    <w:rsid w:val="64C574CA"/>
    <w:rsid w:val="65C43C25"/>
    <w:rsid w:val="664663E8"/>
    <w:rsid w:val="66AC6B93"/>
    <w:rsid w:val="66C739CD"/>
    <w:rsid w:val="66E75E1D"/>
    <w:rsid w:val="67CE48E7"/>
    <w:rsid w:val="68012F0F"/>
    <w:rsid w:val="68466B73"/>
    <w:rsid w:val="68CF4DBB"/>
    <w:rsid w:val="69D65CD5"/>
    <w:rsid w:val="6A150CD0"/>
    <w:rsid w:val="6A884903"/>
    <w:rsid w:val="6B8F740B"/>
    <w:rsid w:val="6BFD1C3F"/>
    <w:rsid w:val="6C5E0930"/>
    <w:rsid w:val="6CF7057E"/>
    <w:rsid w:val="6D0A02BF"/>
    <w:rsid w:val="6DF826BE"/>
    <w:rsid w:val="6EAF6592"/>
    <w:rsid w:val="6ED04CBA"/>
    <w:rsid w:val="6EE53B8F"/>
    <w:rsid w:val="6F235519"/>
    <w:rsid w:val="6FC7059A"/>
    <w:rsid w:val="700C6B99"/>
    <w:rsid w:val="701B2694"/>
    <w:rsid w:val="70E779F1"/>
    <w:rsid w:val="710E3FA6"/>
    <w:rsid w:val="728D20B9"/>
    <w:rsid w:val="72E11419"/>
    <w:rsid w:val="731B6A9A"/>
    <w:rsid w:val="73263829"/>
    <w:rsid w:val="73951FDA"/>
    <w:rsid w:val="73DE4104"/>
    <w:rsid w:val="743D707D"/>
    <w:rsid w:val="751C3136"/>
    <w:rsid w:val="76C9109B"/>
    <w:rsid w:val="774249AA"/>
    <w:rsid w:val="778B41D3"/>
    <w:rsid w:val="77C74EAF"/>
    <w:rsid w:val="79464C25"/>
    <w:rsid w:val="794A2A53"/>
    <w:rsid w:val="794B223C"/>
    <w:rsid w:val="7A807CC3"/>
    <w:rsid w:val="7ABB0CFB"/>
    <w:rsid w:val="7AC925D6"/>
    <w:rsid w:val="7B152B01"/>
    <w:rsid w:val="7CB12E93"/>
    <w:rsid w:val="7CD76E9E"/>
    <w:rsid w:val="7CE40B41"/>
    <w:rsid w:val="7D511DEB"/>
    <w:rsid w:val="7DB36373"/>
    <w:rsid w:val="7DDA2B39"/>
    <w:rsid w:val="7E4C610E"/>
    <w:rsid w:val="7E941FD6"/>
    <w:rsid w:val="7EEF5417"/>
    <w:rsid w:val="7F72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99"/>
    <w:pPr>
      <w:ind w:left="200" w:leftChars="200" w:hanging="200" w:hangingChars="200"/>
    </w:pPr>
    <w:rPr>
      <w:rFonts w:ascii="等线" w:hAnsi="等线" w:eastAsia="等线"/>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Body Text First Indent 21"/>
    <w:qFormat/>
    <w:uiPriority w:val="99"/>
    <w:pPr>
      <w:widowControl w:val="0"/>
      <w:spacing w:line="600" w:lineRule="exact"/>
      <w:ind w:left="420" w:leftChars="200" w:firstLine="210"/>
      <w:jc w:val="both"/>
    </w:pPr>
    <w:rPr>
      <w:rFonts w:ascii="Calibri" w:hAnsi="Calibri" w:eastAsia="仿宋_GB2312" w:cs="Calibri"/>
      <w:kern w:val="2"/>
      <w:sz w:val="32"/>
      <w:szCs w:val="21"/>
      <w:lang w:val="en-US" w:eastAsia="zh-CN" w:bidi="ar-SA"/>
    </w:rPr>
  </w:style>
  <w:style w:type="character" w:customStyle="1" w:styleId="13">
    <w:name w:val="font11"/>
    <w:basedOn w:val="10"/>
    <w:qFormat/>
    <w:uiPriority w:val="0"/>
    <w:rPr>
      <w:rFonts w:hint="eastAsia" w:ascii="宋体" w:hAnsi="宋体" w:eastAsia="宋体" w:cs="宋体"/>
      <w:color w:val="000000"/>
      <w:sz w:val="20"/>
      <w:szCs w:val="20"/>
      <w:u w:val="none"/>
    </w:rPr>
  </w:style>
  <w:style w:type="character" w:customStyle="1" w:styleId="14">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4737</Words>
  <Characters>4880</Characters>
  <Lines>0</Lines>
  <Paragraphs>0</Paragraphs>
  <TotalTime>7</TotalTime>
  <ScaleCrop>false</ScaleCrop>
  <LinksUpToDate>false</LinksUpToDate>
  <CharactersWithSpaces>4880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2024-11-05T07:26:00Z</dcterms:created>
  <dc:creator>Administrator</dc:creator>
  <cp:lastModifiedBy>吴书荣</cp:lastModifiedBy>
  <cp:lastPrinted>2025-02-12T03:41:00Z</cp:lastPrinted>
  <dcterms:modified xsi:type="dcterms:W3CDTF">2025-02-17T01:55:55Z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E0DE1063076A4B33923ED770F5C336D3_12</vt:lpwstr>
  </property>
  <property fmtid="{D5CDD505-2E9C-101B-9397-08002B2CF9AE}" pid="4" name="KSOTemplateDocerSaveRecord">
    <vt:lpwstr>eyJoZGlkIjoiZmRmYjAxZjZlZjZlMzg0N2M0MmIzZjMzNzFiM2E5M2YiLCJ1c2VySWQiOiI4MjkwNzE2ODUifQ==</vt:lpwstr>
  </property>
</Properties>
</file>