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5DE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389EC7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76D60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74F921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589A1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5B0111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467477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3EB14E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 w:cs="仿宋"/>
          <w:sz w:val="32"/>
          <w:szCs w:val="32"/>
          <w:lang w:eastAsia="zh-CN"/>
        </w:rPr>
      </w:pPr>
    </w:p>
    <w:p w14:paraId="03338F62">
      <w:pPr>
        <w:jc w:val="center"/>
        <w:rPr>
          <w:rFonts w:hint="eastAsia" w:ascii="宋体" w:hAnsi="宋体" w:eastAsia="仿宋"/>
          <w:b/>
          <w:bCs/>
          <w:sz w:val="40"/>
          <w:szCs w:val="48"/>
        </w:rPr>
      </w:pPr>
      <w:r>
        <w:rPr>
          <w:rFonts w:hint="eastAsia" w:ascii="宋体" w:hAnsi="宋体" w:eastAsia="仿宋"/>
          <w:sz w:val="32"/>
          <w:szCs w:val="32"/>
          <w:lang w:val="en-US" w:eastAsia="zh-CN"/>
        </w:rPr>
        <w:t>康府办字</w:t>
      </w:r>
      <w:r>
        <w:rPr>
          <w:rFonts w:hint="eastAsia" w:ascii="宋体" w:hAnsi="宋体" w:eastAsia="仿宋"/>
          <w:sz w:val="32"/>
          <w:szCs w:val="32"/>
        </w:rPr>
        <w:t>〔202</w:t>
      </w:r>
      <w:r>
        <w:rPr>
          <w:rFonts w:hint="eastAsia" w:ascii="宋体" w:hAnsi="宋体" w:eastAsia="仿宋"/>
          <w:sz w:val="32"/>
          <w:szCs w:val="32"/>
          <w:lang w:val="en-US" w:eastAsia="zh-CN"/>
        </w:rPr>
        <w:t>5</w:t>
      </w:r>
      <w:r>
        <w:rPr>
          <w:rFonts w:hint="eastAsia" w:ascii="宋体" w:hAnsi="宋体" w:eastAsia="仿宋"/>
          <w:sz w:val="32"/>
          <w:szCs w:val="32"/>
        </w:rPr>
        <w:t>〕</w:t>
      </w:r>
      <w:r>
        <w:rPr>
          <w:rFonts w:hint="eastAsia" w:ascii="宋体" w:hAnsi="宋体" w:eastAsia="仿宋"/>
          <w:sz w:val="32"/>
          <w:szCs w:val="32"/>
          <w:lang w:val="en-US" w:eastAsia="zh-CN"/>
        </w:rPr>
        <w:t>8</w:t>
      </w:r>
      <w:r>
        <w:rPr>
          <w:rFonts w:hint="eastAsia" w:ascii="宋体" w:hAnsi="宋体" w:eastAsia="仿宋"/>
          <w:sz w:val="32"/>
          <w:szCs w:val="32"/>
        </w:rPr>
        <w:t>号</w:t>
      </w:r>
    </w:p>
    <w:p w14:paraId="2BA73193">
      <w:pPr>
        <w:jc w:val="center"/>
        <w:rPr>
          <w:rFonts w:hint="eastAsia" w:ascii="宋体" w:hAnsi="宋体"/>
          <w:b/>
          <w:bCs/>
          <w:sz w:val="40"/>
          <w:szCs w:val="48"/>
        </w:rPr>
      </w:pPr>
    </w:p>
    <w:p w14:paraId="342C2B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val="0"/>
          <w:color w:val="000000" w:themeColor="text1"/>
          <w:sz w:val="44"/>
          <w:szCs w:val="44"/>
          <w14:textFill>
            <w14:solidFill>
              <w14:schemeClr w14:val="tx1"/>
            </w14:solidFill>
          </w14:textFill>
        </w:rPr>
      </w:pPr>
      <w:r>
        <w:rPr>
          <w:rFonts w:hint="eastAsia" w:ascii="宋体" w:hAnsi="宋体" w:eastAsia="方正小标宋简体" w:cs="方正小标宋简体"/>
          <w:b w:val="0"/>
          <w:bCs w:val="0"/>
          <w:color w:val="000000" w:themeColor="text1"/>
          <w:sz w:val="44"/>
          <w:szCs w:val="44"/>
          <w14:textFill>
            <w14:solidFill>
              <w14:schemeClr w14:val="tx1"/>
            </w14:solidFill>
          </w14:textFill>
        </w:rPr>
        <w:t>关于印发《</w:t>
      </w:r>
      <w:r>
        <w:rPr>
          <w:rFonts w:hint="eastAsia" w:ascii="宋体" w:hAnsi="宋体" w:eastAsia="方正小标宋简体" w:cs="方正小标宋简体"/>
          <w:b w:val="0"/>
          <w:bCs w:val="0"/>
          <w:color w:val="000000" w:themeColor="text1"/>
          <w:sz w:val="44"/>
          <w:szCs w:val="44"/>
          <w:lang w:eastAsia="zh-CN"/>
          <w14:textFill>
            <w14:solidFill>
              <w14:schemeClr w14:val="tx1"/>
            </w14:solidFill>
          </w14:textFill>
        </w:rPr>
        <w:t>赣州市南康区</w:t>
      </w:r>
      <w:r>
        <w:rPr>
          <w:rFonts w:hint="eastAsia" w:ascii="宋体" w:hAnsi="宋体" w:eastAsia="方正小标宋简体" w:cs="方正小标宋简体"/>
          <w:b w:val="0"/>
          <w:bCs w:val="0"/>
          <w:color w:val="000000" w:themeColor="text1"/>
          <w:sz w:val="44"/>
          <w:szCs w:val="44"/>
          <w14:textFill>
            <w14:solidFill>
              <w14:schemeClr w14:val="tx1"/>
            </w14:solidFill>
          </w14:textFill>
        </w:rPr>
        <w:t>林业经营收益权登记管理办法（试行）》的通知</w:t>
      </w:r>
    </w:p>
    <w:p w14:paraId="225F62A6">
      <w:pPr>
        <w:jc w:val="center"/>
        <w:rPr>
          <w:rFonts w:hint="eastAsia" w:ascii="宋体" w:hAnsi="宋体"/>
          <w:b/>
          <w:bCs/>
          <w:color w:val="000000" w:themeColor="text1"/>
          <w:sz w:val="44"/>
          <w:szCs w:val="44"/>
          <w14:textFill>
            <w14:solidFill>
              <w14:schemeClr w14:val="tx1"/>
            </w14:solidFill>
          </w14:textFill>
        </w:rPr>
      </w:pPr>
    </w:p>
    <w:p w14:paraId="379926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各乡</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镇</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人民政府</w:t>
      </w:r>
      <w:r>
        <w:rPr>
          <w:rFonts w:hint="eastAsia" w:ascii="宋体" w:hAnsi="宋体" w:eastAsia="仿宋" w:cs="仿宋"/>
          <w:color w:val="000000" w:themeColor="text1"/>
          <w:sz w:val="32"/>
          <w:szCs w:val="32"/>
          <w:lang w:eastAsia="zh-CN"/>
          <w14:textFill>
            <w14:solidFill>
              <w14:schemeClr w14:val="tx1"/>
            </w14:solidFill>
          </w14:textFill>
        </w:rPr>
        <w:t>，各街道办事处</w:t>
      </w:r>
      <w:r>
        <w:rPr>
          <w:rFonts w:hint="eastAsia" w:ascii="宋体" w:hAnsi="宋体" w:eastAsia="仿宋" w:cs="仿宋"/>
          <w:color w:val="000000" w:themeColor="text1"/>
          <w:sz w:val="32"/>
          <w:szCs w:val="32"/>
          <w:lang w:val="en-US" w:eastAsia="zh-CN"/>
          <w14:textFill>
            <w14:solidFill>
              <w14:schemeClr w14:val="tx1"/>
            </w14:solidFill>
          </w14:textFill>
        </w:rPr>
        <w:t>，区政府有关部门，区属、驻区有关单位：</w:t>
      </w:r>
    </w:p>
    <w:p w14:paraId="51AB3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现将《</w:t>
      </w:r>
      <w:r>
        <w:rPr>
          <w:rFonts w:hint="eastAsia" w:ascii="宋体" w:hAnsi="宋体" w:eastAsia="仿宋" w:cs="仿宋"/>
          <w:color w:val="000000" w:themeColor="text1"/>
          <w:sz w:val="32"/>
          <w:szCs w:val="32"/>
          <w:lang w:eastAsia="zh-CN"/>
          <w14:textFill>
            <w14:solidFill>
              <w14:schemeClr w14:val="tx1"/>
            </w14:solidFill>
          </w14:textFill>
        </w:rPr>
        <w:t>赣州市南康区</w:t>
      </w:r>
      <w:r>
        <w:rPr>
          <w:rFonts w:hint="eastAsia" w:ascii="宋体" w:hAnsi="宋体" w:eastAsia="仿宋" w:cs="仿宋"/>
          <w:color w:val="000000" w:themeColor="text1"/>
          <w:sz w:val="32"/>
          <w:szCs w:val="32"/>
          <w14:textFill>
            <w14:solidFill>
              <w14:schemeClr w14:val="tx1"/>
            </w14:solidFill>
          </w14:textFill>
        </w:rPr>
        <w:t>林业经营收益权登记管理办法（试行）》印发给你们，请认真贯彻落实。</w:t>
      </w:r>
    </w:p>
    <w:p w14:paraId="47DEB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p>
    <w:p w14:paraId="3AA91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 w:cs="仿宋"/>
          <w:color w:val="000000" w:themeColor="text1"/>
          <w:sz w:val="32"/>
          <w:szCs w:val="32"/>
          <w:lang w:eastAsia="zh-CN"/>
          <w14:textFill>
            <w14:solidFill>
              <w14:schemeClr w14:val="tx1"/>
            </w14:solidFill>
          </w14:textFill>
        </w:rPr>
      </w:pPr>
    </w:p>
    <w:p w14:paraId="4AC4DD4F">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宋体" w:hAnsi="宋体"/>
          <w:lang w:val="en-US" w:eastAsia="zh-CN"/>
        </w:rPr>
      </w:pPr>
      <w:r>
        <w:rPr>
          <w:rFonts w:hint="eastAsia" w:ascii="宋体" w:hAnsi="宋体" w:eastAsia="仿宋" w:cs="仿宋"/>
          <w:color w:val="000000" w:themeColor="text1"/>
          <w:sz w:val="32"/>
          <w:szCs w:val="32"/>
          <w:lang w:val="en-US" w:eastAsia="zh-CN"/>
          <w14:textFill>
            <w14:solidFill>
              <w14:schemeClr w14:val="tx1"/>
            </w14:solidFill>
          </w14:textFill>
        </w:rPr>
        <w:t>2025年3月21日</w:t>
      </w:r>
    </w:p>
    <w:p w14:paraId="0DEC69A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 w:cs="仿宋"/>
          <w:sz w:val="32"/>
          <w:szCs w:val="32"/>
          <w:lang w:val="en-US" w:eastAsia="zh-CN"/>
        </w:rPr>
      </w:pPr>
    </w:p>
    <w:p w14:paraId="47629A1C">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（此件主动公开）</w:t>
      </w:r>
    </w:p>
    <w:p w14:paraId="1F8D0D6C">
      <w:pPr>
        <w:rPr>
          <w:rFonts w:hint="eastAsia" w:ascii="宋体" w:hAnsi="宋体" w:eastAsia="仿宋" w:cs="仿宋"/>
          <w:color w:val="000000" w:themeColor="text1"/>
          <w:sz w:val="28"/>
          <w:szCs w:val="28"/>
          <w14:textFill>
            <w14:solidFill>
              <w14:schemeClr w14:val="tx1"/>
            </w14:solidFill>
          </w14:textFill>
        </w:rPr>
      </w:pPr>
      <w:r>
        <w:rPr>
          <w:rFonts w:hint="eastAsia" w:ascii="宋体" w:hAnsi="宋体" w:eastAsia="仿宋" w:cs="仿宋"/>
          <w:color w:val="000000" w:themeColor="text1"/>
          <w:sz w:val="28"/>
          <w:szCs w:val="28"/>
          <w14:textFill>
            <w14:solidFill>
              <w14:schemeClr w14:val="tx1"/>
            </w14:solidFill>
          </w14:textFill>
        </w:rPr>
        <w:br w:type="page"/>
      </w:r>
    </w:p>
    <w:p w14:paraId="44EE9B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val="0"/>
          <w:color w:val="000000" w:themeColor="text1"/>
          <w:sz w:val="44"/>
          <w:szCs w:val="44"/>
          <w:lang w:eastAsia="zh-CN"/>
          <w14:textFill>
            <w14:solidFill>
              <w14:schemeClr w14:val="tx1"/>
            </w14:solidFill>
          </w14:textFill>
        </w:rPr>
      </w:pPr>
      <w:r>
        <w:rPr>
          <w:rFonts w:hint="eastAsia" w:ascii="宋体" w:hAnsi="宋体" w:eastAsia="方正小标宋简体" w:cs="方正小标宋简体"/>
          <w:b w:val="0"/>
          <w:bCs w:val="0"/>
          <w:color w:val="000000" w:themeColor="text1"/>
          <w:sz w:val="44"/>
          <w:szCs w:val="44"/>
          <w:lang w:eastAsia="zh-CN"/>
          <w14:textFill>
            <w14:solidFill>
              <w14:schemeClr w14:val="tx1"/>
            </w14:solidFill>
          </w14:textFill>
        </w:rPr>
        <w:t>赣州市南康区林业经营收益权登记管理</w:t>
      </w:r>
    </w:p>
    <w:p w14:paraId="39D7FC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val="0"/>
          <w:color w:val="000000" w:themeColor="text1"/>
          <w:sz w:val="44"/>
          <w:szCs w:val="44"/>
          <w:lang w:eastAsia="zh-CN"/>
          <w14:textFill>
            <w14:solidFill>
              <w14:schemeClr w14:val="tx1"/>
            </w14:solidFill>
          </w14:textFill>
        </w:rPr>
      </w:pPr>
      <w:r>
        <w:rPr>
          <w:rFonts w:hint="eastAsia" w:ascii="宋体" w:hAnsi="宋体" w:eastAsia="方正小标宋简体" w:cs="方正小标宋简体"/>
          <w:b w:val="0"/>
          <w:bCs w:val="0"/>
          <w:color w:val="000000" w:themeColor="text1"/>
          <w:sz w:val="44"/>
          <w:szCs w:val="44"/>
          <w:lang w:eastAsia="zh-CN"/>
          <w14:textFill>
            <w14:solidFill>
              <w14:schemeClr w14:val="tx1"/>
            </w14:solidFill>
          </w14:textFill>
        </w:rPr>
        <w:t>办法（试行）</w:t>
      </w:r>
    </w:p>
    <w:p w14:paraId="75352F97">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宋体" w:hAnsi="宋体" w:eastAsia="仿宋" w:cs="仿宋"/>
          <w:color w:val="000000" w:themeColor="text1"/>
          <w:sz w:val="44"/>
          <w:szCs w:val="44"/>
          <w14:textFill>
            <w14:solidFill>
              <w14:schemeClr w14:val="tx1"/>
            </w14:solidFill>
          </w14:textFill>
        </w:rPr>
      </w:pPr>
    </w:p>
    <w:p w14:paraId="497D8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黑体" w:cs="黑体"/>
          <w:b w:val="0"/>
          <w:bCs w:val="0"/>
          <w:color w:val="000000" w:themeColor="text1"/>
          <w:sz w:val="32"/>
          <w:szCs w:val="32"/>
          <w14:textFill>
            <w14:solidFill>
              <w14:schemeClr w14:val="tx1"/>
            </w14:solidFill>
          </w14:textFill>
        </w:rPr>
        <w:t>第一章</w:t>
      </w:r>
      <w:r>
        <w:rPr>
          <w:rFonts w:hint="eastAsia" w:ascii="宋体" w:hAnsi="宋体" w:eastAsia="黑体" w:cs="黑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黑体" w:cs="黑体"/>
          <w:b w:val="0"/>
          <w:bCs w:val="0"/>
          <w:color w:val="000000" w:themeColor="text1"/>
          <w:sz w:val="32"/>
          <w:szCs w:val="32"/>
          <w14:textFill>
            <w14:solidFill>
              <w14:schemeClr w14:val="tx1"/>
            </w14:solidFill>
          </w14:textFill>
        </w:rPr>
        <w:t>总则</w:t>
      </w:r>
    </w:p>
    <w:p w14:paraId="3613E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第一条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为深化集体林权制度改革，丰富林地“三权分置”实现形式，拓展林地经营权权能，解决困扰林业经营主体“急难愁盼”的确权、融资难题，引导和支持社会资本“进山入林”，激活沉睡的生态资源，根据《中华人民共和国民法典》《中华人民共和国农村土地承包法》《中华人民共和国森林法》及《中共中央办公厅</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国务院办公厅关于印发(深化集体林权制度改革方案)的通知》(中办发</w:t>
      </w:r>
      <w:r>
        <w:rPr>
          <w:rStyle w:val="9"/>
          <w:rFonts w:hint="eastAsia" w:ascii="宋体" w:hAnsi="宋体" w:eastAsia="仿宋" w:cs="仿宋"/>
          <w:color w:val="000000" w:themeColor="text1"/>
          <w:sz w:val="32"/>
          <w:szCs w:val="32"/>
          <w:lang w:val="en-US" w:eastAsia="zh-CN" w:bidi="en-US"/>
          <w14:textFill>
            <w14:solidFill>
              <w14:schemeClr w14:val="tx1"/>
            </w14:solidFill>
          </w14:textFill>
        </w:rPr>
        <w:t>〔2024〕</w:t>
      </w:r>
      <w:r>
        <w:rPr>
          <w:rFonts w:hint="eastAsia" w:ascii="宋体" w:hAnsi="宋体" w:eastAsia="仿宋" w:cs="仿宋"/>
          <w:color w:val="000000" w:themeColor="text1"/>
          <w:sz w:val="32"/>
          <w:szCs w:val="32"/>
          <w14:textFill>
            <w14:solidFill>
              <w14:schemeClr w14:val="tx1"/>
            </w14:solidFill>
          </w14:textFill>
        </w:rPr>
        <w:t>29号)和《中共江西省委江西省人民政府关于印发</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江西省深化集体林权制度改革先行区建设方案)的</w:t>
      </w:r>
      <w:r>
        <w:rPr>
          <w:rFonts w:hint="eastAsia" w:ascii="宋体" w:hAnsi="宋体" w:eastAsia="仿宋" w:cs="仿宋"/>
          <w:color w:val="000000" w:themeColor="text1"/>
          <w:sz w:val="32"/>
          <w:szCs w:val="32"/>
          <w:lang w:eastAsia="zh-CN"/>
          <w14:textFill>
            <w14:solidFill>
              <w14:schemeClr w14:val="tx1"/>
            </w14:solidFill>
          </w14:textFill>
        </w:rPr>
        <w:t>通知》（赣发</w:t>
      </w:r>
      <w:r>
        <w:rPr>
          <w:rStyle w:val="9"/>
          <w:rFonts w:hint="eastAsia" w:ascii="宋体" w:hAnsi="宋体" w:eastAsia="仿宋" w:cs="仿宋"/>
          <w:color w:val="000000" w:themeColor="text1"/>
          <w:sz w:val="32"/>
          <w:szCs w:val="32"/>
          <w:lang w:val="en-US" w:eastAsia="zh-CN" w:bidi="en-US"/>
          <w14:textFill>
            <w14:solidFill>
              <w14:schemeClr w14:val="tx1"/>
            </w14:solidFill>
          </w14:textFill>
        </w:rPr>
        <w:t>〔2024〕</w:t>
      </w:r>
      <w:r>
        <w:rPr>
          <w:rFonts w:hint="eastAsia" w:ascii="宋体" w:hAnsi="宋体" w:eastAsia="仿宋" w:cs="仿宋"/>
          <w:color w:val="000000" w:themeColor="text1"/>
          <w:sz w:val="32"/>
          <w:szCs w:val="32"/>
          <w:lang w:val="en-US" w:eastAsia="zh-CN"/>
          <w14:textFill>
            <w14:solidFill>
              <w14:schemeClr w14:val="tx1"/>
            </w14:solidFill>
          </w14:textFill>
        </w:rPr>
        <w:t>9号</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等法律法规和政策文件，制定本办法。</w:t>
      </w:r>
    </w:p>
    <w:p w14:paraId="100EE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本办法所称林业经营收益权是指除林地所有权之外的，承包经营权或经营权拓展权能分置出来经营收益权、使用权，包含林下经济、经济林、林业碳汇、湿地环境、森林康养、森林旅游、公益林（天然商品林）等非木质经营和获得补偿及入股、托管、合作收益的权利。允许国有林地开展林业经营收益权登记。</w:t>
      </w:r>
    </w:p>
    <w:p w14:paraId="792DF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第三条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本办法所称林业经营收益权登记，是指经林业经营收益申请人申请，</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审核，</w:t>
      </w:r>
      <w:r>
        <w:rPr>
          <w:rFonts w:hint="eastAsia" w:ascii="宋体" w:hAnsi="宋体" w:eastAsia="仿宋" w:cs="仿宋"/>
          <w:color w:val="000000" w:themeColor="text1"/>
          <w:sz w:val="32"/>
          <w:szCs w:val="32"/>
          <w:lang w:eastAsia="zh-CN"/>
          <w14:textFill>
            <w14:solidFill>
              <w14:schemeClr w14:val="tx1"/>
            </w14:solidFill>
          </w14:textFill>
        </w:rPr>
        <w:t>区自然资源部门核实</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eastAsia="zh-CN"/>
          <w14:textFill>
            <w14:solidFill>
              <w14:schemeClr w14:val="tx1"/>
            </w14:solidFill>
          </w14:textFill>
        </w:rPr>
        <w:t>报区</w:t>
      </w:r>
      <w:r>
        <w:rPr>
          <w:rFonts w:hint="eastAsia" w:ascii="宋体" w:hAnsi="宋体" w:eastAsia="仿宋" w:cs="仿宋"/>
          <w:color w:val="000000" w:themeColor="text1"/>
          <w:sz w:val="32"/>
          <w:szCs w:val="32"/>
          <w14:textFill>
            <w14:solidFill>
              <w14:schemeClr w14:val="tx1"/>
            </w14:solidFill>
          </w14:textFill>
        </w:rPr>
        <w:t>人民政府批准，将林业经营收益权利和其他核实事项记载于登记簿并颁发证书的行为。</w:t>
      </w:r>
    </w:p>
    <w:p w14:paraId="41408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第四条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林业经营收益权登记工作应当遵循改革创新、权能拓展、便民利民、自愿依法的原则。</w:t>
      </w:r>
    </w:p>
    <w:p w14:paraId="02736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第五条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lang w:eastAsia="zh-CN"/>
          <w14:textFill>
            <w14:solidFill>
              <w14:schemeClr w14:val="tx1"/>
            </w14:solidFill>
          </w14:textFill>
        </w:rPr>
        <w:t>南康区</w:t>
      </w:r>
      <w:r>
        <w:rPr>
          <w:rFonts w:hint="eastAsia" w:ascii="宋体" w:hAnsi="宋体" w:eastAsia="仿宋" w:cs="仿宋"/>
          <w:color w:val="000000" w:themeColor="text1"/>
          <w:sz w:val="32"/>
          <w:szCs w:val="32"/>
          <w14:textFill>
            <w14:solidFill>
              <w14:schemeClr w14:val="tx1"/>
            </w14:solidFill>
          </w14:textFill>
        </w:rPr>
        <w:t>人民政府负责核发全</w:t>
      </w:r>
      <w:r>
        <w:rPr>
          <w:rFonts w:hint="eastAsia" w:ascii="宋体" w:hAnsi="宋体" w:eastAsia="仿宋" w:cs="仿宋"/>
          <w:color w:val="000000" w:themeColor="text1"/>
          <w:sz w:val="32"/>
          <w:szCs w:val="32"/>
          <w:lang w:eastAsia="zh-CN"/>
          <w14:textFill>
            <w14:solidFill>
              <w14:schemeClr w14:val="tx1"/>
            </w14:solidFill>
          </w14:textFill>
        </w:rPr>
        <w:t>区</w:t>
      </w:r>
      <w:r>
        <w:rPr>
          <w:rFonts w:hint="eastAsia" w:ascii="宋体" w:hAnsi="宋体" w:eastAsia="仿宋" w:cs="仿宋"/>
          <w:color w:val="000000" w:themeColor="text1"/>
          <w:sz w:val="32"/>
          <w:szCs w:val="32"/>
          <w14:textFill>
            <w14:solidFill>
              <w14:schemeClr w14:val="tx1"/>
            </w14:solidFill>
          </w14:textFill>
        </w:rPr>
        <w:t>统一的林业经营收益权证书，具体登记缮证工作由</w:t>
      </w:r>
      <w:r>
        <w:rPr>
          <w:rFonts w:hint="eastAsia" w:ascii="宋体" w:hAnsi="宋体" w:eastAsia="仿宋" w:cs="仿宋"/>
          <w:color w:val="000000" w:themeColor="text1"/>
          <w:sz w:val="32"/>
          <w:szCs w:val="32"/>
          <w:lang w:eastAsia="zh-CN"/>
          <w14:textFill>
            <w14:solidFill>
              <w14:schemeClr w14:val="tx1"/>
            </w14:solidFill>
          </w14:textFill>
        </w:rPr>
        <w:t>区</w:t>
      </w:r>
      <w:r>
        <w:rPr>
          <w:rFonts w:hint="eastAsia" w:ascii="宋体" w:hAnsi="宋体" w:eastAsia="仿宋" w:cs="仿宋"/>
          <w:color w:val="000000" w:themeColor="text1"/>
          <w:sz w:val="32"/>
          <w:szCs w:val="32"/>
          <w14:textFill>
            <w14:solidFill>
              <w14:schemeClr w14:val="tx1"/>
            </w14:solidFill>
          </w14:textFill>
        </w:rPr>
        <w:t>林业部门负责办理</w:t>
      </w:r>
      <w:r>
        <w:rPr>
          <w:rFonts w:hint="eastAsia" w:ascii="宋体" w:hAnsi="宋体" w:eastAsia="仿宋" w:cs="仿宋"/>
          <w:color w:val="000000" w:themeColor="text1"/>
          <w:sz w:val="32"/>
          <w:szCs w:val="32"/>
          <w:lang w:eastAsia="zh-CN"/>
          <w14:textFill>
            <w14:solidFill>
              <w14:schemeClr w14:val="tx1"/>
            </w14:solidFill>
          </w14:textFill>
        </w:rPr>
        <w:t>。</w:t>
      </w:r>
    </w:p>
    <w:p w14:paraId="05120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第六条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经营主体在本</w:t>
      </w:r>
      <w:r>
        <w:rPr>
          <w:rFonts w:hint="eastAsia" w:ascii="宋体" w:hAnsi="宋体" w:eastAsia="仿宋" w:cs="仿宋"/>
          <w:color w:val="000000" w:themeColor="text1"/>
          <w:sz w:val="32"/>
          <w:szCs w:val="32"/>
          <w:lang w:eastAsia="zh-CN"/>
          <w14:textFill>
            <w14:solidFill>
              <w14:schemeClr w14:val="tx1"/>
            </w14:solidFill>
          </w14:textFill>
        </w:rPr>
        <w:t>区</w:t>
      </w:r>
      <w:r>
        <w:rPr>
          <w:rFonts w:hint="eastAsia" w:ascii="宋体" w:hAnsi="宋体" w:eastAsia="仿宋" w:cs="仿宋"/>
          <w:color w:val="000000" w:themeColor="text1"/>
          <w:sz w:val="32"/>
          <w:szCs w:val="32"/>
          <w14:textFill>
            <w14:solidFill>
              <w14:schemeClr w14:val="tx1"/>
            </w14:solidFill>
          </w14:textFill>
        </w:rPr>
        <w:t>范围内可凭林业经营收益权证办理流转交易、质押贷款、项目申报、示范评审和林业资产证明等事项。</w:t>
      </w:r>
    </w:p>
    <w:p w14:paraId="78907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p>
    <w:p w14:paraId="12038B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黑体" w:cs="黑体"/>
          <w:b w:val="0"/>
          <w:bCs w:val="0"/>
          <w:color w:val="000000" w:themeColor="text1"/>
          <w:sz w:val="32"/>
          <w:szCs w:val="32"/>
          <w14:textFill>
            <w14:solidFill>
              <w14:schemeClr w14:val="tx1"/>
            </w14:solidFill>
          </w14:textFill>
        </w:rPr>
      </w:pPr>
      <w:r>
        <w:rPr>
          <w:rFonts w:hint="eastAsia" w:ascii="宋体" w:hAnsi="宋体" w:eastAsia="黑体" w:cs="黑体"/>
          <w:b w:val="0"/>
          <w:bCs w:val="0"/>
          <w:color w:val="000000" w:themeColor="text1"/>
          <w:sz w:val="32"/>
          <w:szCs w:val="32"/>
          <w14:textFill>
            <w14:solidFill>
              <w14:schemeClr w14:val="tx1"/>
            </w14:solidFill>
          </w14:textFill>
        </w:rPr>
        <w:t>第二章 登记范围</w:t>
      </w:r>
    </w:p>
    <w:p w14:paraId="68A37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第七条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依法开展以下类型林业经营的，可依照本办法规定的类型办理收益权登记：</w:t>
      </w:r>
    </w:p>
    <w:p w14:paraId="52598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（一）林下空间种植、养殖经营的</w:t>
      </w:r>
      <w:r>
        <w:rPr>
          <w:rFonts w:hint="eastAsia" w:ascii="宋体" w:hAnsi="宋体" w:eastAsia="仿宋" w:cs="仿宋"/>
          <w:color w:val="000000" w:themeColor="text1"/>
          <w:sz w:val="32"/>
          <w:szCs w:val="32"/>
          <w:lang w:eastAsia="zh-CN"/>
          <w14:textFill>
            <w14:solidFill>
              <w14:schemeClr w14:val="tx1"/>
            </w14:solidFill>
          </w14:textFill>
        </w:rPr>
        <w:t>；</w:t>
      </w:r>
    </w:p>
    <w:p w14:paraId="39CBA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（二）林果、花、叶、皮、脂、茎等采集经营的</w:t>
      </w:r>
      <w:r>
        <w:rPr>
          <w:rFonts w:hint="eastAsia" w:ascii="宋体" w:hAnsi="宋体" w:eastAsia="仿宋" w:cs="仿宋"/>
          <w:color w:val="000000" w:themeColor="text1"/>
          <w:sz w:val="32"/>
          <w:szCs w:val="32"/>
          <w:lang w:eastAsia="zh-CN"/>
          <w14:textFill>
            <w14:solidFill>
              <w14:schemeClr w14:val="tx1"/>
            </w14:solidFill>
          </w14:textFill>
        </w:rPr>
        <w:t>；</w:t>
      </w:r>
    </w:p>
    <w:p w14:paraId="42463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（三）林业碳汇开发经营的；</w:t>
      </w:r>
    </w:p>
    <w:p w14:paraId="3B348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（四）公益林（天然商品林）补偿的</w:t>
      </w:r>
      <w:r>
        <w:rPr>
          <w:rFonts w:hint="eastAsia" w:ascii="宋体" w:hAnsi="宋体" w:eastAsia="仿宋" w:cs="仿宋"/>
          <w:color w:val="000000" w:themeColor="text1"/>
          <w:sz w:val="32"/>
          <w:szCs w:val="32"/>
          <w:lang w:eastAsia="zh-CN"/>
          <w14:textFill>
            <w14:solidFill>
              <w14:schemeClr w14:val="tx1"/>
            </w14:solidFill>
          </w14:textFill>
        </w:rPr>
        <w:t>；</w:t>
      </w:r>
    </w:p>
    <w:p w14:paraId="66D54B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（五）森林旅游基地经营的；</w:t>
      </w:r>
    </w:p>
    <w:p w14:paraId="3CE5B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（六）森林康养基地经营的</w:t>
      </w:r>
      <w:r>
        <w:rPr>
          <w:rFonts w:hint="eastAsia" w:ascii="宋体" w:hAnsi="宋体" w:eastAsia="仿宋" w:cs="仿宋"/>
          <w:color w:val="000000" w:themeColor="text1"/>
          <w:sz w:val="32"/>
          <w:szCs w:val="32"/>
          <w:lang w:eastAsia="zh-CN"/>
          <w14:textFill>
            <w14:solidFill>
              <w14:schemeClr w14:val="tx1"/>
            </w14:solidFill>
          </w14:textFill>
        </w:rPr>
        <w:t>；</w:t>
      </w:r>
    </w:p>
    <w:p w14:paraId="45E4A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（七）湿地资源开发经营的；</w:t>
      </w:r>
    </w:p>
    <w:p w14:paraId="0E59E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（八）集体统一经营管理收益量化到户的</w:t>
      </w:r>
      <w:r>
        <w:rPr>
          <w:rFonts w:hint="eastAsia" w:ascii="宋体" w:hAnsi="宋体" w:eastAsia="仿宋" w:cs="仿宋"/>
          <w:color w:val="000000" w:themeColor="text1"/>
          <w:sz w:val="32"/>
          <w:szCs w:val="32"/>
          <w:lang w:eastAsia="zh-CN"/>
          <w14:textFill>
            <w14:solidFill>
              <w14:schemeClr w14:val="tx1"/>
            </w14:solidFill>
          </w14:textFill>
        </w:rPr>
        <w:t>；</w:t>
      </w:r>
    </w:p>
    <w:p w14:paraId="6EFD3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（九）受托管理经营林权的</w:t>
      </w:r>
      <w:r>
        <w:rPr>
          <w:rFonts w:hint="eastAsia" w:ascii="宋体" w:hAnsi="宋体" w:eastAsia="仿宋" w:cs="仿宋"/>
          <w:color w:val="000000" w:themeColor="text1"/>
          <w:sz w:val="32"/>
          <w:szCs w:val="32"/>
          <w:lang w:eastAsia="zh-CN"/>
          <w14:textFill>
            <w14:solidFill>
              <w14:schemeClr w14:val="tx1"/>
            </w14:solidFill>
          </w14:textFill>
        </w:rPr>
        <w:t>；</w:t>
      </w:r>
    </w:p>
    <w:p w14:paraId="6FB65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（十）合作经营林权的。</w:t>
      </w:r>
    </w:p>
    <w:p w14:paraId="3F812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第八条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林业经营收益权登记应关联原林权证或颁发的林权类不动产权证书；多个宗地或单元连片的，可进行连片登记</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同一林地同一经营主体多种经营，经营内容登记进行叠加，只颁发一次经营收益权证；同一林地不同经营主体不同经营类型，可分别颁发经营收益权证；原则上登记面积不少于1亩，权利期限不少于所需从事林业生产经营活动的经营周期</w:t>
      </w:r>
      <w:r>
        <w:rPr>
          <w:rFonts w:hint="eastAsia" w:ascii="宋体" w:hAnsi="宋体" w:eastAsia="仿宋" w:cs="仿宋"/>
          <w:color w:val="000000" w:themeColor="text1"/>
          <w:sz w:val="32"/>
          <w:szCs w:val="32"/>
          <w:lang w:eastAsia="zh-CN"/>
          <w14:textFill>
            <w14:solidFill>
              <w14:schemeClr w14:val="tx1"/>
            </w14:solidFill>
          </w14:textFill>
        </w:rPr>
        <w:t>，但不得超过林地承包期的剩余期限</w:t>
      </w:r>
      <w:r>
        <w:rPr>
          <w:rFonts w:hint="eastAsia" w:ascii="宋体" w:hAnsi="宋体" w:eastAsia="仿宋" w:cs="仿宋"/>
          <w:color w:val="000000" w:themeColor="text1"/>
          <w:sz w:val="32"/>
          <w:szCs w:val="32"/>
          <w14:textFill>
            <w14:solidFill>
              <w14:schemeClr w14:val="tx1"/>
            </w14:solidFill>
          </w14:textFill>
        </w:rPr>
        <w:t>。</w:t>
      </w:r>
    </w:p>
    <w:p w14:paraId="3B3C0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第九条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林业经营收益权有下列情形之一的，不得发证：</w:t>
      </w:r>
    </w:p>
    <w:p w14:paraId="13AB6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（一）所在林地未颁发林权证、不动产权证书或不动产登记证明的（经自然资源部门审核同意的除外）</w:t>
      </w:r>
      <w:r>
        <w:rPr>
          <w:rFonts w:hint="eastAsia" w:ascii="宋体" w:hAnsi="宋体" w:eastAsia="仿宋" w:cs="仿宋"/>
          <w:color w:val="000000" w:themeColor="text1"/>
          <w:sz w:val="32"/>
          <w:szCs w:val="32"/>
          <w:lang w:eastAsia="zh-CN"/>
          <w14:textFill>
            <w14:solidFill>
              <w14:schemeClr w14:val="tx1"/>
            </w14:solidFill>
          </w14:textFill>
        </w:rPr>
        <w:t>；</w:t>
      </w:r>
    </w:p>
    <w:p w14:paraId="624A7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（二）申请人已取得林权证或不动产权证书、不动产登记证明的；</w:t>
      </w:r>
    </w:p>
    <w:p w14:paraId="50212E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（三）所在林地权属不清或者权属有争议的</w:t>
      </w:r>
      <w:r>
        <w:rPr>
          <w:rFonts w:hint="eastAsia" w:ascii="宋体" w:hAnsi="宋体" w:eastAsia="仿宋" w:cs="仿宋"/>
          <w:color w:val="000000" w:themeColor="text1"/>
          <w:sz w:val="32"/>
          <w:szCs w:val="32"/>
          <w:lang w:eastAsia="zh-CN"/>
          <w14:textFill>
            <w14:solidFill>
              <w14:schemeClr w14:val="tx1"/>
            </w14:solidFill>
          </w14:textFill>
        </w:rPr>
        <w:t>；</w:t>
      </w:r>
    </w:p>
    <w:p w14:paraId="5972C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（四）所在林地已抵（质）押且未取得抵（质）押权人同意的（受让人代为清偿债务消灭抵（质）押权的除外）；</w:t>
      </w:r>
    </w:p>
    <w:p w14:paraId="635DA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（五）所在林地被司法、公安、纪检监察等行政机关依法查封、冻结的</w:t>
      </w:r>
      <w:r>
        <w:rPr>
          <w:rFonts w:hint="eastAsia" w:ascii="宋体" w:hAnsi="宋体" w:eastAsia="仿宋" w:cs="仿宋"/>
          <w:color w:val="000000" w:themeColor="text1"/>
          <w:sz w:val="32"/>
          <w:szCs w:val="32"/>
          <w:lang w:eastAsia="zh-CN"/>
          <w14:textFill>
            <w14:solidFill>
              <w14:schemeClr w14:val="tx1"/>
            </w14:solidFill>
          </w14:textFill>
        </w:rPr>
        <w:t>；</w:t>
      </w:r>
    </w:p>
    <w:p w14:paraId="42270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（六）法律、法规禁止开展林业经营活动的。</w:t>
      </w:r>
    </w:p>
    <w:p w14:paraId="4E8E6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第十条</w:t>
      </w:r>
      <w:r>
        <w:rPr>
          <w:rFonts w:hint="eastAsia" w:ascii="宋体" w:hAnsi="宋体" w:eastAsia="仿宋" w:cs="仿宋"/>
          <w:color w:val="000000" w:themeColor="text1"/>
          <w:sz w:val="32"/>
          <w:szCs w:val="32"/>
          <w14:textFill>
            <w14:solidFill>
              <w14:schemeClr w14:val="tx1"/>
            </w14:solidFill>
          </w14:textFill>
        </w:rPr>
        <w:t xml:space="preserve"> </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林业经营收益权证应当记载以下事项：</w:t>
      </w:r>
    </w:p>
    <w:p w14:paraId="0F44E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（一）林业经营收益权所在林地的坐落、界址、面积、用途等自然状况；</w:t>
      </w:r>
    </w:p>
    <w:p w14:paraId="705AA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（二）林业经营收益权的权利主体、登记类型、经营内容、权属来源、权利期限、经营期限、权利变化等权属状况</w:t>
      </w:r>
      <w:r>
        <w:rPr>
          <w:rFonts w:hint="eastAsia" w:ascii="宋体" w:hAnsi="宋体" w:eastAsia="仿宋" w:cs="仿宋"/>
          <w:color w:val="000000" w:themeColor="text1"/>
          <w:sz w:val="32"/>
          <w:szCs w:val="32"/>
          <w:lang w:eastAsia="zh-CN"/>
          <w14:textFill>
            <w14:solidFill>
              <w14:schemeClr w14:val="tx1"/>
            </w14:solidFill>
          </w14:textFill>
        </w:rPr>
        <w:t>；</w:t>
      </w:r>
    </w:p>
    <w:p w14:paraId="235F3D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bookmarkStart w:id="0" w:name="_GoBack"/>
      <w:bookmarkEnd w:id="0"/>
      <w:r>
        <w:rPr>
          <w:rFonts w:hint="eastAsia" w:ascii="宋体" w:hAnsi="宋体" w:eastAsia="仿宋" w:cs="仿宋"/>
          <w:color w:val="000000" w:themeColor="text1"/>
          <w:sz w:val="32"/>
          <w:szCs w:val="32"/>
          <w14:textFill>
            <w14:solidFill>
              <w14:schemeClr w14:val="tx1"/>
            </w14:solidFill>
          </w14:textFill>
        </w:rPr>
        <w:t>备注栏，主要记载林业经营收益权利被限制、应提示事项</w:t>
      </w:r>
      <w:r>
        <w:rPr>
          <w:rFonts w:hint="eastAsia" w:ascii="宋体" w:hAnsi="宋体" w:eastAsia="仿宋" w:cs="仿宋"/>
          <w:color w:val="000000" w:themeColor="text1"/>
          <w:sz w:val="32"/>
          <w:szCs w:val="32"/>
          <w:lang w:eastAsia="zh-CN"/>
          <w14:textFill>
            <w14:solidFill>
              <w14:schemeClr w14:val="tx1"/>
            </w14:solidFill>
          </w14:textFill>
        </w:rPr>
        <w:t>；</w:t>
      </w:r>
    </w:p>
    <w:p w14:paraId="4E475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（四）其他相关事项。</w:t>
      </w:r>
    </w:p>
    <w:p w14:paraId="09D97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权利期限以合同载明的期限为准，不得超过权属来源证书的权利期限。</w:t>
      </w:r>
    </w:p>
    <w:p w14:paraId="24F41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p>
    <w:p w14:paraId="5DB5BB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黑体" w:cs="黑体"/>
          <w:b w:val="0"/>
          <w:bCs w:val="0"/>
          <w:color w:val="000000" w:themeColor="text1"/>
          <w:sz w:val="32"/>
          <w:szCs w:val="32"/>
          <w14:textFill>
            <w14:solidFill>
              <w14:schemeClr w14:val="tx1"/>
            </w14:solidFill>
          </w14:textFill>
        </w:rPr>
      </w:pPr>
      <w:r>
        <w:rPr>
          <w:rFonts w:hint="eastAsia" w:ascii="宋体" w:hAnsi="宋体" w:eastAsia="黑体" w:cs="黑体"/>
          <w:b w:val="0"/>
          <w:bCs w:val="0"/>
          <w:color w:val="000000" w:themeColor="text1"/>
          <w:sz w:val="32"/>
          <w:szCs w:val="32"/>
          <w14:textFill>
            <w14:solidFill>
              <w14:schemeClr w14:val="tx1"/>
            </w14:solidFill>
          </w14:textFill>
        </w:rPr>
        <w:t>第三章</w:t>
      </w:r>
      <w:r>
        <w:rPr>
          <w:rFonts w:hint="eastAsia" w:ascii="宋体" w:hAnsi="宋体" w:eastAsia="黑体" w:cs="黑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黑体" w:cs="黑体"/>
          <w:b w:val="0"/>
          <w:bCs w:val="0"/>
          <w:color w:val="000000" w:themeColor="text1"/>
          <w:sz w:val="32"/>
          <w:szCs w:val="32"/>
          <w14:textFill>
            <w14:solidFill>
              <w14:schemeClr w14:val="tx1"/>
            </w14:solidFill>
          </w14:textFill>
        </w:rPr>
        <w:t>登记程序</w:t>
      </w:r>
    </w:p>
    <w:p w14:paraId="663FF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第十一条</w:t>
      </w:r>
      <w:r>
        <w:rPr>
          <w:rFonts w:hint="eastAsia" w:ascii="宋体" w:hAnsi="宋体" w:eastAsia="仿宋" w:cs="仿宋"/>
          <w:color w:val="000000" w:themeColor="text1"/>
          <w:sz w:val="32"/>
          <w:szCs w:val="32"/>
          <w14:textFill>
            <w14:solidFill>
              <w14:schemeClr w14:val="tx1"/>
            </w14:solidFill>
          </w14:textFill>
        </w:rPr>
        <w:t xml:space="preserve"> </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林业经营收益权登记程序：</w:t>
      </w:r>
    </w:p>
    <w:p w14:paraId="43783B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（一）受理。申请人向</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递交申请材料，</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对收到的申请材料进行审核，材料齐全予以当场受理，材料不齐全予以退回，并一次性书面告知应当补齐补正的材料。</w:t>
      </w:r>
    </w:p>
    <w:p w14:paraId="1C957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（二）现场调查。</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对林业经营状况的真实性、经营落图进行核实，涉及集体林权的需联合所在乡（镇）人民政府、村委会一同开展现场调查。</w:t>
      </w:r>
    </w:p>
    <w:p w14:paraId="6D6D7C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（三）审核和核实。现场调查后，对不符合规定的予以退回，并书面告知原因</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符合相关规定的，于7个工作日内出具审核意见，转区自然资源</w:t>
      </w:r>
      <w:r>
        <w:rPr>
          <w:rFonts w:hint="eastAsia" w:ascii="宋体" w:hAnsi="宋体" w:eastAsia="仿宋" w:cs="仿宋"/>
          <w:color w:val="000000" w:themeColor="text1"/>
          <w:sz w:val="32"/>
          <w:szCs w:val="32"/>
          <w:lang w:eastAsia="zh-CN"/>
          <w14:textFill>
            <w14:solidFill>
              <w14:schemeClr w14:val="tx1"/>
            </w14:solidFill>
          </w14:textFill>
        </w:rPr>
        <w:t>部门</w:t>
      </w:r>
      <w:r>
        <w:rPr>
          <w:rFonts w:hint="eastAsia" w:ascii="宋体" w:hAnsi="宋体" w:eastAsia="仿宋" w:cs="仿宋"/>
          <w:color w:val="000000" w:themeColor="text1"/>
          <w:sz w:val="32"/>
          <w:szCs w:val="32"/>
          <w14:textFill>
            <w14:solidFill>
              <w14:schemeClr w14:val="tx1"/>
            </w14:solidFill>
          </w14:textFill>
        </w:rPr>
        <w:t>核实，出具核实意见。区自然资源</w:t>
      </w:r>
      <w:r>
        <w:rPr>
          <w:rFonts w:hint="eastAsia" w:ascii="宋体" w:hAnsi="宋体" w:eastAsia="仿宋" w:cs="仿宋"/>
          <w:color w:val="000000" w:themeColor="text1"/>
          <w:sz w:val="32"/>
          <w:szCs w:val="32"/>
          <w:lang w:eastAsia="zh-CN"/>
          <w14:textFill>
            <w14:solidFill>
              <w14:schemeClr w14:val="tx1"/>
            </w14:solidFill>
          </w14:textFill>
        </w:rPr>
        <w:t>部门</w:t>
      </w:r>
      <w:r>
        <w:rPr>
          <w:rFonts w:hint="eastAsia" w:ascii="宋体" w:hAnsi="宋体" w:eastAsia="仿宋" w:cs="仿宋"/>
          <w:color w:val="000000" w:themeColor="text1"/>
          <w:sz w:val="32"/>
          <w:szCs w:val="32"/>
          <w14:textFill>
            <w14:solidFill>
              <w14:schemeClr w14:val="tx1"/>
            </w14:solidFill>
          </w14:textFill>
        </w:rPr>
        <w:t>出具核实意见后，区林业</w:t>
      </w:r>
      <w:r>
        <w:rPr>
          <w:rFonts w:hint="eastAsia" w:ascii="宋体" w:hAnsi="宋体" w:eastAsia="仿宋" w:cs="仿宋"/>
          <w:color w:val="000000" w:themeColor="text1"/>
          <w:sz w:val="32"/>
          <w:szCs w:val="32"/>
          <w:lang w:eastAsia="zh-CN"/>
          <w14:textFill>
            <w14:solidFill>
              <w14:schemeClr w14:val="tx1"/>
            </w14:solidFill>
          </w14:textFill>
        </w:rPr>
        <w:t>部门</w:t>
      </w:r>
      <w:r>
        <w:rPr>
          <w:rFonts w:hint="eastAsia" w:ascii="宋体" w:hAnsi="宋体" w:eastAsia="仿宋" w:cs="仿宋"/>
          <w:color w:val="000000" w:themeColor="text1"/>
          <w:sz w:val="32"/>
          <w:szCs w:val="32"/>
          <w14:textFill>
            <w14:solidFill>
              <w14:schemeClr w14:val="tx1"/>
            </w14:solidFill>
          </w14:textFill>
        </w:rPr>
        <w:t>将申请材料以及审核、核实意见上报至区人民政府审批。</w:t>
      </w:r>
    </w:p>
    <w:p w14:paraId="0A9A63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（四）登簿发证。经</w:t>
      </w:r>
      <w:r>
        <w:rPr>
          <w:rFonts w:hint="eastAsia" w:ascii="宋体" w:hAnsi="宋体" w:eastAsia="仿宋" w:cs="仿宋"/>
          <w:color w:val="000000" w:themeColor="text1"/>
          <w:sz w:val="32"/>
          <w:szCs w:val="32"/>
          <w:lang w:eastAsia="zh-CN"/>
          <w14:textFill>
            <w14:solidFill>
              <w14:schemeClr w14:val="tx1"/>
            </w14:solidFill>
          </w14:textFill>
        </w:rPr>
        <w:t>区</w:t>
      </w:r>
      <w:r>
        <w:rPr>
          <w:rFonts w:hint="eastAsia" w:ascii="宋体" w:hAnsi="宋体" w:eastAsia="仿宋" w:cs="仿宋"/>
          <w:color w:val="000000" w:themeColor="text1"/>
          <w:sz w:val="32"/>
          <w:szCs w:val="32"/>
          <w14:textFill>
            <w14:solidFill>
              <w14:schemeClr w14:val="tx1"/>
            </w14:solidFill>
          </w14:textFill>
        </w:rPr>
        <w:t>人民政府审批同意后，向申请人颁发林业经营收益权证。</w:t>
      </w:r>
    </w:p>
    <w:p w14:paraId="73ED99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pacing w:val="-6"/>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（五）</w:t>
      </w:r>
      <w:r>
        <w:rPr>
          <w:rFonts w:hint="eastAsia" w:ascii="宋体" w:hAnsi="宋体" w:eastAsia="仿宋" w:cs="仿宋"/>
          <w:color w:val="000000" w:themeColor="text1"/>
          <w:spacing w:val="-6"/>
          <w:sz w:val="32"/>
          <w:szCs w:val="32"/>
          <w14:textFill>
            <w14:solidFill>
              <w14:schemeClr w14:val="tx1"/>
            </w14:solidFill>
          </w14:textFill>
        </w:rPr>
        <w:t>档案管理</w:t>
      </w:r>
      <w:r>
        <w:rPr>
          <w:rFonts w:hint="eastAsia" w:ascii="宋体" w:hAnsi="宋体" w:eastAsia="仿宋" w:cs="仿宋"/>
          <w:color w:val="000000" w:themeColor="text1"/>
          <w:spacing w:val="-6"/>
          <w:sz w:val="32"/>
          <w:szCs w:val="32"/>
          <w:lang w:eastAsia="zh-CN"/>
          <w14:textFill>
            <w14:solidFill>
              <w14:schemeClr w14:val="tx1"/>
            </w14:solidFill>
          </w14:textFill>
        </w:rPr>
        <w:t>。区林业部门</w:t>
      </w:r>
      <w:r>
        <w:rPr>
          <w:rFonts w:hint="eastAsia" w:ascii="宋体" w:hAnsi="宋体" w:eastAsia="仿宋" w:cs="仿宋"/>
          <w:color w:val="000000" w:themeColor="text1"/>
          <w:spacing w:val="-6"/>
          <w:sz w:val="32"/>
          <w:szCs w:val="32"/>
          <w14:textFill>
            <w14:solidFill>
              <w14:schemeClr w14:val="tx1"/>
            </w14:solidFill>
          </w14:textFill>
        </w:rPr>
        <w:t>建立林业经营收益权证登记档案</w:t>
      </w:r>
      <w:r>
        <w:rPr>
          <w:rFonts w:hint="eastAsia" w:ascii="宋体" w:hAnsi="宋体" w:eastAsia="仿宋" w:cs="仿宋"/>
          <w:color w:val="000000" w:themeColor="text1"/>
          <w:spacing w:val="-6"/>
          <w:sz w:val="32"/>
          <w:szCs w:val="32"/>
          <w:lang w:eastAsia="zh-CN"/>
          <w14:textFill>
            <w14:solidFill>
              <w14:schemeClr w14:val="tx1"/>
            </w14:solidFill>
          </w14:textFill>
        </w:rPr>
        <w:t>。</w:t>
      </w:r>
    </w:p>
    <w:p w14:paraId="3D9720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第十二条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林业经营收益权登记申请人应当是在</w:t>
      </w:r>
      <w:r>
        <w:rPr>
          <w:rFonts w:hint="eastAsia" w:ascii="宋体" w:hAnsi="宋体" w:eastAsia="仿宋" w:cs="仿宋"/>
          <w:color w:val="000000" w:themeColor="text1"/>
          <w:sz w:val="32"/>
          <w:szCs w:val="32"/>
          <w:lang w:eastAsia="zh-CN"/>
          <w14:textFill>
            <w14:solidFill>
              <w14:schemeClr w14:val="tx1"/>
            </w14:solidFill>
          </w14:textFill>
        </w:rPr>
        <w:t>南康区</w:t>
      </w:r>
      <w:r>
        <w:rPr>
          <w:rFonts w:hint="eastAsia" w:ascii="宋体" w:hAnsi="宋体" w:eastAsia="仿宋" w:cs="仿宋"/>
          <w:color w:val="000000" w:themeColor="text1"/>
          <w:sz w:val="32"/>
          <w:szCs w:val="32"/>
          <w14:textFill>
            <w14:solidFill>
              <w14:schemeClr w14:val="tx1"/>
            </w14:solidFill>
          </w14:textFill>
        </w:rPr>
        <w:t>内依法开展林业经营的自然人、法人或其他组织。</w:t>
      </w:r>
    </w:p>
    <w:p w14:paraId="20413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第十三条</w:t>
      </w:r>
      <w:r>
        <w:rPr>
          <w:rFonts w:hint="eastAsia" w:ascii="宋体" w:hAnsi="宋体" w:eastAsia="仿宋" w:cs="仿宋"/>
          <w:color w:val="000000" w:themeColor="text1"/>
          <w:sz w:val="32"/>
          <w:szCs w:val="32"/>
          <w14:textFill>
            <w14:solidFill>
              <w14:schemeClr w14:val="tx1"/>
            </w14:solidFill>
          </w14:textFill>
        </w:rPr>
        <w:t xml:space="preserve"> </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林业经营收益权登记含首次登记、变更登记、转移登记、质押登记、注销登记和其他登记。</w:t>
      </w:r>
    </w:p>
    <w:p w14:paraId="64B191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第十四条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登记经营方式为股份、托管、合作、租赁等流转类型；经营内容登记具体经营的品种、业态等。</w:t>
      </w:r>
    </w:p>
    <w:p w14:paraId="547E6B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第十五条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申请林业经营收益权首次登记的，应当提交下列材料</w:t>
      </w:r>
      <w:r>
        <w:rPr>
          <w:rFonts w:hint="eastAsia" w:ascii="宋体" w:hAnsi="宋体" w:eastAsia="仿宋" w:cs="仿宋"/>
          <w:color w:val="000000" w:themeColor="text1"/>
          <w:sz w:val="32"/>
          <w:szCs w:val="32"/>
          <w:lang w:eastAsia="zh-CN"/>
          <w14:textFill>
            <w14:solidFill>
              <w14:schemeClr w14:val="tx1"/>
            </w14:solidFill>
          </w14:textFill>
        </w:rPr>
        <w:t>：</w:t>
      </w:r>
    </w:p>
    <w:p w14:paraId="2188A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（一）登记申请表。</w:t>
      </w:r>
    </w:p>
    <w:p w14:paraId="26AF1B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（二）身份证明材料。申请人应当提供身份证，法人或者其他组织应当提供统一社会信用代码证书和法定代表人或者负责人的身份证明</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委托他人办理的，需提供本人、受托人身份证明材料及授权委托书。以合作社（或共同体）名义申请的，需要提供集体研究决议。</w:t>
      </w:r>
    </w:p>
    <w:p w14:paraId="17ED8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（三）权属证明材料。租赁、托管、合作、入股等合同，林权权属证明。</w:t>
      </w:r>
    </w:p>
    <w:p w14:paraId="1B9C24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pacing w:val="-6"/>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（四）在国有林地上申请林业经营收益权登记所需的相关材料</w:t>
      </w:r>
      <w:r>
        <w:rPr>
          <w:rFonts w:hint="eastAsia" w:ascii="宋体" w:hAnsi="宋体" w:eastAsia="仿宋" w:cs="仿宋"/>
          <w:color w:val="000000" w:themeColor="text1"/>
          <w:spacing w:val="-6"/>
          <w:sz w:val="32"/>
          <w:szCs w:val="32"/>
          <w14:textFill>
            <w14:solidFill>
              <w14:schemeClr w14:val="tx1"/>
            </w14:solidFill>
          </w14:textFill>
        </w:rPr>
        <w:t>，包括权属证明、政府批文或</w:t>
      </w:r>
      <w:r>
        <w:rPr>
          <w:rFonts w:hint="eastAsia" w:ascii="宋体" w:hAnsi="宋体" w:eastAsia="仿宋" w:cs="仿宋"/>
          <w:color w:val="000000" w:themeColor="text1"/>
          <w:spacing w:val="-6"/>
          <w:sz w:val="32"/>
          <w:szCs w:val="32"/>
          <w:lang w:eastAsia="zh-CN"/>
          <w14:textFill>
            <w14:solidFill>
              <w14:schemeClr w14:val="tx1"/>
            </w14:solidFill>
          </w14:textFill>
        </w:rPr>
        <w:t>财政、</w:t>
      </w:r>
      <w:r>
        <w:rPr>
          <w:rFonts w:hint="eastAsia" w:ascii="宋体" w:hAnsi="宋体" w:eastAsia="仿宋" w:cs="仿宋"/>
          <w:color w:val="000000" w:themeColor="text1"/>
          <w:spacing w:val="-6"/>
          <w:sz w:val="32"/>
          <w:szCs w:val="32"/>
          <w14:textFill>
            <w14:solidFill>
              <w14:schemeClr w14:val="tx1"/>
            </w14:solidFill>
          </w14:textFill>
        </w:rPr>
        <w:t>国资部门审批意见、合同等。</w:t>
      </w:r>
    </w:p>
    <w:p w14:paraId="6B50A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第十六条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发生下列情形之一的，权利人应当向</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申请变更登记</w:t>
      </w:r>
      <w:r>
        <w:rPr>
          <w:rFonts w:hint="eastAsia" w:ascii="宋体" w:hAnsi="宋体" w:eastAsia="仿宋" w:cs="仿宋"/>
          <w:color w:val="000000" w:themeColor="text1"/>
          <w:sz w:val="32"/>
          <w:szCs w:val="32"/>
          <w:lang w:eastAsia="zh-CN"/>
          <w14:textFill>
            <w14:solidFill>
              <w14:schemeClr w14:val="tx1"/>
            </w14:solidFill>
          </w14:textFill>
        </w:rPr>
        <w:t>：</w:t>
      </w:r>
    </w:p>
    <w:p w14:paraId="07D4B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（一）权利人身份信息变更的</w:t>
      </w:r>
      <w:r>
        <w:rPr>
          <w:rFonts w:hint="eastAsia" w:ascii="宋体" w:hAnsi="宋体" w:eastAsia="仿宋" w:cs="仿宋"/>
          <w:color w:val="000000" w:themeColor="text1"/>
          <w:sz w:val="32"/>
          <w:szCs w:val="32"/>
          <w:lang w:eastAsia="zh-CN"/>
          <w14:textFill>
            <w14:solidFill>
              <w14:schemeClr w14:val="tx1"/>
            </w14:solidFill>
          </w14:textFill>
        </w:rPr>
        <w:t>；</w:t>
      </w:r>
    </w:p>
    <w:p w14:paraId="7B4EA8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（二）收益权经营内容、经营类型等状况变更的</w:t>
      </w:r>
      <w:r>
        <w:rPr>
          <w:rFonts w:hint="eastAsia" w:ascii="宋体" w:hAnsi="宋体" w:eastAsia="仿宋" w:cs="仿宋"/>
          <w:color w:val="000000" w:themeColor="text1"/>
          <w:sz w:val="32"/>
          <w:szCs w:val="32"/>
          <w:lang w:eastAsia="zh-CN"/>
          <w14:textFill>
            <w14:solidFill>
              <w14:schemeClr w14:val="tx1"/>
            </w14:solidFill>
          </w14:textFill>
        </w:rPr>
        <w:t>；</w:t>
      </w:r>
    </w:p>
    <w:p w14:paraId="66D32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（三）收益权期限发生变化的；</w:t>
      </w:r>
    </w:p>
    <w:p w14:paraId="1EC2F1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（四）其他不涉及权利转移的变更情形</w:t>
      </w:r>
      <w:r>
        <w:rPr>
          <w:rFonts w:hint="eastAsia" w:ascii="宋体" w:hAnsi="宋体" w:eastAsia="仿宋" w:cs="仿宋"/>
          <w:color w:val="000000" w:themeColor="text1"/>
          <w:sz w:val="32"/>
          <w:szCs w:val="32"/>
          <w:lang w:eastAsia="zh-CN"/>
          <w14:textFill>
            <w14:solidFill>
              <w14:schemeClr w14:val="tx1"/>
            </w14:solidFill>
          </w14:textFill>
        </w:rPr>
        <w:t>（除本法第十七条规定之外的情形）</w:t>
      </w:r>
      <w:r>
        <w:rPr>
          <w:rFonts w:hint="eastAsia" w:ascii="宋体" w:hAnsi="宋体" w:eastAsia="仿宋" w:cs="仿宋"/>
          <w:color w:val="000000" w:themeColor="text1"/>
          <w:sz w:val="32"/>
          <w:szCs w:val="32"/>
          <w14:textFill>
            <w14:solidFill>
              <w14:schemeClr w14:val="tx1"/>
            </w14:solidFill>
          </w14:textFill>
        </w:rPr>
        <w:t>。</w:t>
      </w:r>
    </w:p>
    <w:p w14:paraId="522A9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第十七条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发生下列情形之一的，当事人可以申请转移登记</w:t>
      </w:r>
      <w:r>
        <w:rPr>
          <w:rFonts w:hint="eastAsia" w:ascii="宋体" w:hAnsi="宋体" w:eastAsia="仿宋" w:cs="仿宋"/>
          <w:color w:val="000000" w:themeColor="text1"/>
          <w:sz w:val="32"/>
          <w:szCs w:val="32"/>
          <w:lang w:eastAsia="zh-CN"/>
          <w14:textFill>
            <w14:solidFill>
              <w14:schemeClr w14:val="tx1"/>
            </w14:solidFill>
          </w14:textFill>
        </w:rPr>
        <w:t>：</w:t>
      </w:r>
    </w:p>
    <w:p w14:paraId="31BFCA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（一）买卖、互换、赠与收益权的</w:t>
      </w:r>
      <w:r>
        <w:rPr>
          <w:rFonts w:hint="eastAsia" w:ascii="宋体" w:hAnsi="宋体" w:eastAsia="仿宋" w:cs="仿宋"/>
          <w:color w:val="000000" w:themeColor="text1"/>
          <w:sz w:val="32"/>
          <w:szCs w:val="32"/>
          <w:lang w:eastAsia="zh-CN"/>
          <w14:textFill>
            <w14:solidFill>
              <w14:schemeClr w14:val="tx1"/>
            </w14:solidFill>
          </w14:textFill>
        </w:rPr>
        <w:t>；</w:t>
      </w:r>
    </w:p>
    <w:p w14:paraId="305C8C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（二）以收益权作价出资（入股）的</w:t>
      </w:r>
      <w:r>
        <w:rPr>
          <w:rFonts w:hint="eastAsia" w:ascii="宋体" w:hAnsi="宋体" w:eastAsia="仿宋" w:cs="仿宋"/>
          <w:color w:val="000000" w:themeColor="text1"/>
          <w:sz w:val="32"/>
          <w:szCs w:val="32"/>
          <w:lang w:eastAsia="zh-CN"/>
          <w14:textFill>
            <w14:solidFill>
              <w14:schemeClr w14:val="tx1"/>
            </w14:solidFill>
          </w14:textFill>
        </w:rPr>
        <w:t>；</w:t>
      </w:r>
    </w:p>
    <w:p w14:paraId="41A75B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（三）收益权的分割、合并导致权利发生转移的</w:t>
      </w:r>
      <w:r>
        <w:rPr>
          <w:rFonts w:hint="eastAsia" w:ascii="宋体" w:hAnsi="宋体" w:eastAsia="仿宋" w:cs="仿宋"/>
          <w:color w:val="000000" w:themeColor="text1"/>
          <w:sz w:val="32"/>
          <w:szCs w:val="32"/>
          <w:lang w:eastAsia="zh-CN"/>
          <w14:textFill>
            <w14:solidFill>
              <w14:schemeClr w14:val="tx1"/>
            </w14:solidFill>
          </w14:textFill>
        </w:rPr>
        <w:t>；</w:t>
      </w:r>
    </w:p>
    <w:p w14:paraId="35571E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（四）继承导致权利发生转移的</w:t>
      </w:r>
      <w:r>
        <w:rPr>
          <w:rFonts w:hint="eastAsia" w:ascii="宋体" w:hAnsi="宋体" w:eastAsia="仿宋" w:cs="仿宋"/>
          <w:color w:val="000000" w:themeColor="text1"/>
          <w:sz w:val="32"/>
          <w:szCs w:val="32"/>
          <w:lang w:eastAsia="zh-CN"/>
          <w14:textFill>
            <w14:solidFill>
              <w14:schemeClr w14:val="tx1"/>
            </w14:solidFill>
          </w14:textFill>
        </w:rPr>
        <w:t>；</w:t>
      </w:r>
    </w:p>
    <w:p w14:paraId="2E6C3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（五）共有人增加或者减少以及共有份额变化的</w:t>
      </w:r>
      <w:r>
        <w:rPr>
          <w:rFonts w:hint="eastAsia" w:ascii="宋体" w:hAnsi="宋体" w:eastAsia="仿宋" w:cs="仿宋"/>
          <w:color w:val="000000" w:themeColor="text1"/>
          <w:sz w:val="32"/>
          <w:szCs w:val="32"/>
          <w:lang w:eastAsia="zh-CN"/>
          <w14:textFill>
            <w14:solidFill>
              <w14:schemeClr w14:val="tx1"/>
            </w14:solidFill>
          </w14:textFill>
        </w:rPr>
        <w:t>；</w:t>
      </w:r>
    </w:p>
    <w:p w14:paraId="221C7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（六）人民法院、仲裁委员会的生效法律文书导致权利发生转移的</w:t>
      </w:r>
      <w:r>
        <w:rPr>
          <w:rFonts w:hint="eastAsia" w:ascii="宋体" w:hAnsi="宋体" w:eastAsia="仿宋" w:cs="仿宋"/>
          <w:color w:val="000000" w:themeColor="text1"/>
          <w:sz w:val="32"/>
          <w:szCs w:val="32"/>
          <w:lang w:eastAsia="zh-CN"/>
          <w14:textFill>
            <w14:solidFill>
              <w14:schemeClr w14:val="tx1"/>
            </w14:solidFill>
          </w14:textFill>
        </w:rPr>
        <w:t>；</w:t>
      </w:r>
    </w:p>
    <w:p w14:paraId="242316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（七）其他权利转移情形</w:t>
      </w:r>
      <w:r>
        <w:rPr>
          <w:rFonts w:hint="eastAsia" w:ascii="宋体" w:hAnsi="宋体" w:eastAsia="仿宋" w:cs="仿宋"/>
          <w:color w:val="000000" w:themeColor="text1"/>
          <w:sz w:val="32"/>
          <w:szCs w:val="32"/>
          <w:lang w:eastAsia="zh-CN"/>
          <w14:textFill>
            <w14:solidFill>
              <w14:schemeClr w14:val="tx1"/>
            </w14:solidFill>
          </w14:textFill>
        </w:rPr>
        <w:t>。</w:t>
      </w:r>
    </w:p>
    <w:p w14:paraId="18F190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第十八条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发生下列情形之一的，权利部门依法办理有关注销登记</w:t>
      </w:r>
      <w:r>
        <w:rPr>
          <w:rFonts w:hint="eastAsia" w:ascii="宋体" w:hAnsi="宋体" w:eastAsia="仿宋" w:cs="仿宋"/>
          <w:color w:val="000000" w:themeColor="text1"/>
          <w:sz w:val="32"/>
          <w:szCs w:val="32"/>
          <w:lang w:eastAsia="zh-CN"/>
          <w14:textFill>
            <w14:solidFill>
              <w14:schemeClr w14:val="tx1"/>
            </w14:solidFill>
          </w14:textFill>
        </w:rPr>
        <w:t>：</w:t>
      </w:r>
    </w:p>
    <w:p w14:paraId="3663CF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（一）承包、租赁、托管、合作等合同已终止的</w:t>
      </w:r>
      <w:r>
        <w:rPr>
          <w:rFonts w:hint="eastAsia" w:ascii="宋体" w:hAnsi="宋体" w:eastAsia="仿宋" w:cs="仿宋"/>
          <w:color w:val="000000" w:themeColor="text1"/>
          <w:sz w:val="32"/>
          <w:szCs w:val="32"/>
          <w:lang w:eastAsia="zh-CN"/>
          <w14:textFill>
            <w14:solidFill>
              <w14:schemeClr w14:val="tx1"/>
            </w14:solidFill>
          </w14:textFill>
        </w:rPr>
        <w:t>；</w:t>
      </w:r>
    </w:p>
    <w:p w14:paraId="6BA12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（二）收益权所在林地被征占用等原因导致收益权灭失的</w:t>
      </w:r>
      <w:r>
        <w:rPr>
          <w:rFonts w:hint="eastAsia" w:ascii="宋体" w:hAnsi="宋体" w:eastAsia="仿宋" w:cs="仿宋"/>
          <w:color w:val="000000" w:themeColor="text1"/>
          <w:sz w:val="32"/>
          <w:szCs w:val="32"/>
          <w:lang w:eastAsia="zh-CN"/>
          <w14:textFill>
            <w14:solidFill>
              <w14:schemeClr w14:val="tx1"/>
            </w14:solidFill>
          </w14:textFill>
        </w:rPr>
        <w:t>；</w:t>
      </w:r>
    </w:p>
    <w:p w14:paraId="7FE8F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（三）权利人自愿放弃收益权的；</w:t>
      </w:r>
    </w:p>
    <w:p w14:paraId="3057C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（四）法律、法规、规章规定的其他情形。</w:t>
      </w:r>
    </w:p>
    <w:p w14:paraId="4C0A8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第十九条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申请办理变更、转移、注销登记时，申请人应当提交下列材料</w:t>
      </w:r>
      <w:r>
        <w:rPr>
          <w:rFonts w:hint="eastAsia" w:ascii="宋体" w:hAnsi="宋体" w:eastAsia="仿宋" w:cs="仿宋"/>
          <w:color w:val="000000" w:themeColor="text1"/>
          <w:sz w:val="32"/>
          <w:szCs w:val="32"/>
          <w:lang w:eastAsia="zh-CN"/>
          <w14:textFill>
            <w14:solidFill>
              <w14:schemeClr w14:val="tx1"/>
            </w14:solidFill>
          </w14:textFill>
        </w:rPr>
        <w:t>：</w:t>
      </w:r>
    </w:p>
    <w:p w14:paraId="439331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（一）登记申请表</w:t>
      </w:r>
      <w:r>
        <w:rPr>
          <w:rFonts w:hint="eastAsia" w:ascii="宋体" w:hAnsi="宋体" w:eastAsia="仿宋" w:cs="仿宋"/>
          <w:color w:val="000000" w:themeColor="text1"/>
          <w:sz w:val="32"/>
          <w:szCs w:val="32"/>
          <w:lang w:eastAsia="zh-CN"/>
          <w14:textFill>
            <w14:solidFill>
              <w14:schemeClr w14:val="tx1"/>
            </w14:solidFill>
          </w14:textFill>
        </w:rPr>
        <w:t>；</w:t>
      </w:r>
    </w:p>
    <w:p w14:paraId="0A7267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（二）林业经营收益权证原件</w:t>
      </w:r>
      <w:r>
        <w:rPr>
          <w:rFonts w:hint="eastAsia" w:ascii="宋体" w:hAnsi="宋体" w:eastAsia="仿宋" w:cs="仿宋"/>
          <w:color w:val="000000" w:themeColor="text1"/>
          <w:sz w:val="32"/>
          <w:szCs w:val="32"/>
          <w:lang w:eastAsia="zh-CN"/>
          <w14:textFill>
            <w14:solidFill>
              <w14:schemeClr w14:val="tx1"/>
            </w14:solidFill>
          </w14:textFill>
        </w:rPr>
        <w:t>；</w:t>
      </w:r>
    </w:p>
    <w:p w14:paraId="1ACC2D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（三）发生变更、转移、注销登记所列情形的有关证明文件。</w:t>
      </w:r>
    </w:p>
    <w:p w14:paraId="38B74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center"/>
        <w:textAlignment w:val="auto"/>
        <w:rPr>
          <w:rFonts w:hint="eastAsia" w:ascii="宋体" w:hAnsi="宋体" w:eastAsia="宋体" w:cs="宋体"/>
          <w:b/>
          <w:bCs/>
          <w:color w:val="000000" w:themeColor="text1"/>
          <w:sz w:val="32"/>
          <w:szCs w:val="32"/>
          <w14:textFill>
            <w14:solidFill>
              <w14:schemeClr w14:val="tx1"/>
            </w14:solidFill>
          </w14:textFill>
        </w:rPr>
      </w:pPr>
    </w:p>
    <w:p w14:paraId="65E2D3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黑体" w:cs="黑体"/>
          <w:b w:val="0"/>
          <w:bCs w:val="0"/>
          <w:color w:val="000000" w:themeColor="text1"/>
          <w:sz w:val="32"/>
          <w:szCs w:val="32"/>
          <w14:textFill>
            <w14:solidFill>
              <w14:schemeClr w14:val="tx1"/>
            </w14:solidFill>
          </w14:textFill>
        </w:rPr>
      </w:pPr>
      <w:r>
        <w:rPr>
          <w:rFonts w:hint="eastAsia" w:ascii="宋体" w:hAnsi="宋体" w:eastAsia="黑体" w:cs="黑体"/>
          <w:b w:val="0"/>
          <w:bCs w:val="0"/>
          <w:color w:val="000000" w:themeColor="text1"/>
          <w:sz w:val="32"/>
          <w:szCs w:val="32"/>
          <w14:textFill>
            <w14:solidFill>
              <w14:schemeClr w14:val="tx1"/>
            </w14:solidFill>
          </w14:textFill>
        </w:rPr>
        <w:t>第四章</w:t>
      </w:r>
      <w:r>
        <w:rPr>
          <w:rFonts w:hint="eastAsia" w:ascii="宋体" w:hAnsi="宋体" w:eastAsia="黑体" w:cs="黑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黑体" w:cs="黑体"/>
          <w:b w:val="0"/>
          <w:bCs w:val="0"/>
          <w:color w:val="000000" w:themeColor="text1"/>
          <w:sz w:val="32"/>
          <w:szCs w:val="32"/>
          <w14:textFill>
            <w14:solidFill>
              <w14:schemeClr w14:val="tx1"/>
            </w14:solidFill>
          </w14:textFill>
        </w:rPr>
        <w:t>质押登记</w:t>
      </w:r>
    </w:p>
    <w:p w14:paraId="3A56C1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第二十条</w:t>
      </w:r>
      <w:r>
        <w:rPr>
          <w:rFonts w:hint="eastAsia" w:ascii="宋体" w:hAnsi="宋体" w:eastAsia="仿宋" w:cs="仿宋"/>
          <w:color w:val="000000" w:themeColor="text1"/>
          <w:sz w:val="32"/>
          <w:szCs w:val="32"/>
          <w:lang w:val="en-US" w:eastAsia="zh-CN"/>
          <w14:textFill>
            <w14:solidFill>
              <w14:schemeClr w14:val="tx1"/>
            </w14:solidFill>
          </w14:textFill>
        </w:rPr>
        <w:t xml:space="preserve">  区</w:t>
      </w:r>
      <w:r>
        <w:rPr>
          <w:rFonts w:hint="eastAsia" w:ascii="宋体" w:hAnsi="宋体" w:eastAsia="仿宋" w:cs="仿宋"/>
          <w:color w:val="000000" w:themeColor="text1"/>
          <w:sz w:val="32"/>
          <w:szCs w:val="32"/>
          <w:lang w:eastAsia="zh-CN"/>
          <w14:textFill>
            <w14:solidFill>
              <w14:schemeClr w14:val="tx1"/>
            </w14:solidFill>
          </w14:textFill>
        </w:rPr>
        <w:t>林业部门</w:t>
      </w:r>
      <w:r>
        <w:rPr>
          <w:rFonts w:hint="eastAsia" w:ascii="宋体" w:hAnsi="宋体" w:eastAsia="仿宋" w:cs="仿宋"/>
          <w:color w:val="000000" w:themeColor="text1"/>
          <w:sz w:val="32"/>
          <w:szCs w:val="32"/>
          <w14:textFill>
            <w14:solidFill>
              <w14:schemeClr w14:val="tx1"/>
            </w14:solidFill>
          </w14:textFill>
        </w:rPr>
        <w:t>负责收益权质押登记工作。自然人、法人或其他组织为保障其债权的实现，依法以收益权设定质押的，质押双方当事人应共同书面向</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申请办理质押登记。</w:t>
      </w:r>
    </w:p>
    <w:p w14:paraId="30C1A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第二十一条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申请收益权质押登记的，当事人应当向</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提交下列材料</w:t>
      </w:r>
      <w:r>
        <w:rPr>
          <w:rFonts w:hint="eastAsia" w:ascii="宋体" w:hAnsi="宋体" w:eastAsia="仿宋" w:cs="仿宋"/>
          <w:color w:val="000000" w:themeColor="text1"/>
          <w:sz w:val="32"/>
          <w:szCs w:val="32"/>
          <w:lang w:eastAsia="zh-CN"/>
          <w14:textFill>
            <w14:solidFill>
              <w14:schemeClr w14:val="tx1"/>
            </w14:solidFill>
          </w14:textFill>
        </w:rPr>
        <w:t>：</w:t>
      </w:r>
    </w:p>
    <w:p w14:paraId="24B36A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（一）出质人和质权人共同签字或盖章的收益权质押登记申</w:t>
      </w:r>
      <w:r>
        <w:rPr>
          <w:rFonts w:hint="eastAsia" w:ascii="宋体" w:hAnsi="宋体" w:eastAsia="仿宋" w:cs="仿宋"/>
          <w:color w:val="000000" w:themeColor="text1"/>
          <w:sz w:val="32"/>
          <w:szCs w:val="32"/>
          <w:lang w:eastAsia="zh-CN"/>
          <w14:textFill>
            <w14:solidFill>
              <w14:schemeClr w14:val="tx1"/>
            </w14:solidFill>
          </w14:textFill>
        </w:rPr>
        <w:t>请表；</w:t>
      </w:r>
    </w:p>
    <w:p w14:paraId="60DDC7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（二）收益权质押合同</w:t>
      </w:r>
      <w:r>
        <w:rPr>
          <w:rFonts w:hint="eastAsia" w:ascii="宋体" w:hAnsi="宋体" w:eastAsia="仿宋" w:cs="仿宋"/>
          <w:color w:val="000000" w:themeColor="text1"/>
          <w:sz w:val="32"/>
          <w:szCs w:val="32"/>
          <w:lang w:eastAsia="zh-CN"/>
          <w14:textFill>
            <w14:solidFill>
              <w14:schemeClr w14:val="tx1"/>
            </w14:solidFill>
          </w14:textFill>
        </w:rPr>
        <w:t>；</w:t>
      </w:r>
    </w:p>
    <w:p w14:paraId="0A90C8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（三）双方当事人的身份证明，或当事人签署的相关承诺书；</w:t>
      </w:r>
    </w:p>
    <w:p w14:paraId="6950B6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（四）委托代理的，注明委托权限的委托书</w:t>
      </w:r>
      <w:r>
        <w:rPr>
          <w:rFonts w:hint="eastAsia" w:ascii="宋体" w:hAnsi="宋体" w:eastAsia="仿宋" w:cs="仿宋"/>
          <w:color w:val="000000" w:themeColor="text1"/>
          <w:sz w:val="32"/>
          <w:szCs w:val="32"/>
          <w:lang w:eastAsia="zh-CN"/>
          <w14:textFill>
            <w14:solidFill>
              <w14:schemeClr w14:val="tx1"/>
            </w14:solidFill>
          </w14:textFill>
        </w:rPr>
        <w:t>；</w:t>
      </w:r>
    </w:p>
    <w:p w14:paraId="276184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（五）其他需要提供的材料。</w:t>
      </w:r>
    </w:p>
    <w:p w14:paraId="0F9D11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收益权经过资产评估的，当事人还应当提交资产评估报告。</w:t>
      </w:r>
    </w:p>
    <w:p w14:paraId="3871B3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第二十二条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以收益权出质的，出质人与质权人应当订立书面合同。质押合同可以是单独订立的合同，也可以是主合同中的担保条款。合同应当包括以下与质押登记相关的内容</w:t>
      </w:r>
      <w:r>
        <w:rPr>
          <w:rFonts w:hint="eastAsia" w:ascii="宋体" w:hAnsi="宋体" w:eastAsia="仿宋" w:cs="仿宋"/>
          <w:color w:val="000000" w:themeColor="text1"/>
          <w:sz w:val="32"/>
          <w:szCs w:val="32"/>
          <w:lang w:eastAsia="zh-CN"/>
          <w14:textFill>
            <w14:solidFill>
              <w14:schemeClr w14:val="tx1"/>
            </w14:solidFill>
          </w14:textFill>
        </w:rPr>
        <w:t>：</w:t>
      </w:r>
    </w:p>
    <w:p w14:paraId="0E9EF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（一）当事人的姓名或名称、地址</w:t>
      </w:r>
      <w:r>
        <w:rPr>
          <w:rFonts w:hint="eastAsia" w:ascii="宋体" w:hAnsi="宋体" w:eastAsia="仿宋" w:cs="仿宋"/>
          <w:color w:val="000000" w:themeColor="text1"/>
          <w:sz w:val="32"/>
          <w:szCs w:val="32"/>
          <w:lang w:eastAsia="zh-CN"/>
          <w14:textFill>
            <w14:solidFill>
              <w14:schemeClr w14:val="tx1"/>
            </w14:solidFill>
          </w14:textFill>
        </w:rPr>
        <w:t>；</w:t>
      </w:r>
    </w:p>
    <w:p w14:paraId="6E910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（二）收益权证主要信息</w:t>
      </w:r>
      <w:r>
        <w:rPr>
          <w:rFonts w:hint="eastAsia" w:ascii="宋体" w:hAnsi="宋体" w:eastAsia="仿宋" w:cs="仿宋"/>
          <w:color w:val="000000" w:themeColor="text1"/>
          <w:sz w:val="32"/>
          <w:szCs w:val="32"/>
          <w:lang w:eastAsia="zh-CN"/>
          <w14:textFill>
            <w14:solidFill>
              <w14:schemeClr w14:val="tx1"/>
            </w14:solidFill>
          </w14:textFill>
        </w:rPr>
        <w:t>；</w:t>
      </w:r>
    </w:p>
    <w:p w14:paraId="79AAEC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（三）被担保债权的种类和数额；</w:t>
      </w:r>
    </w:p>
    <w:p w14:paraId="58AC55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（四）债务人履行债务的期限</w:t>
      </w:r>
      <w:r>
        <w:rPr>
          <w:rFonts w:hint="eastAsia" w:ascii="宋体" w:hAnsi="宋体" w:eastAsia="仿宋" w:cs="仿宋"/>
          <w:color w:val="000000" w:themeColor="text1"/>
          <w:sz w:val="32"/>
          <w:szCs w:val="32"/>
          <w:lang w:eastAsia="zh-CN"/>
          <w14:textFill>
            <w14:solidFill>
              <w14:schemeClr w14:val="tx1"/>
            </w14:solidFill>
          </w14:textFill>
        </w:rPr>
        <w:t>；</w:t>
      </w:r>
    </w:p>
    <w:p w14:paraId="02CA6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（五）质押担保的范围。</w:t>
      </w:r>
    </w:p>
    <w:p w14:paraId="4EBDFE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第二十三条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收到当事人提交的质押登记申请文件，应当予以受理，并自收到之日起5个工作日内进行审查，决定是否予以登记。</w:t>
      </w:r>
    </w:p>
    <w:p w14:paraId="3D89C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第二十四条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收益权质押登记申请经审查合格的，</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在收益权证上予以登记。经审查发现不符合登记条件的，</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作出不予登记的决定，并书面通知当事人。</w:t>
      </w:r>
    </w:p>
    <w:p w14:paraId="084DC6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第二十五条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权利人用收益权证向银行机构申请质押贷款的，在</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办理质押登记之后，银行机构可以登录中国人民银行征信中心“动产融资统一登记公示系统（中登网）”对收益权及质押情况进行登记和公示。</w:t>
      </w:r>
    </w:p>
    <w:p w14:paraId="68961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p>
    <w:p w14:paraId="4F61F5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黑体" w:cs="黑体"/>
          <w:b w:val="0"/>
          <w:bCs w:val="0"/>
          <w:color w:val="000000" w:themeColor="text1"/>
          <w:sz w:val="32"/>
          <w:szCs w:val="32"/>
          <w14:textFill>
            <w14:solidFill>
              <w14:schemeClr w14:val="tx1"/>
            </w14:solidFill>
          </w14:textFill>
        </w:rPr>
      </w:pPr>
      <w:r>
        <w:rPr>
          <w:rFonts w:hint="eastAsia" w:ascii="宋体" w:hAnsi="宋体" w:eastAsia="黑体" w:cs="黑体"/>
          <w:b w:val="0"/>
          <w:bCs w:val="0"/>
          <w:color w:val="000000" w:themeColor="text1"/>
          <w:sz w:val="32"/>
          <w:szCs w:val="32"/>
          <w14:textFill>
            <w14:solidFill>
              <w14:schemeClr w14:val="tx1"/>
            </w14:solidFill>
          </w14:textFill>
        </w:rPr>
        <w:t>第五章</w:t>
      </w:r>
      <w:r>
        <w:rPr>
          <w:rFonts w:hint="eastAsia" w:ascii="宋体" w:hAnsi="宋体" w:eastAsia="黑体" w:cs="黑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黑体" w:cs="黑体"/>
          <w:b w:val="0"/>
          <w:bCs w:val="0"/>
          <w:color w:val="000000" w:themeColor="text1"/>
          <w:sz w:val="32"/>
          <w:szCs w:val="32"/>
          <w14:textFill>
            <w14:solidFill>
              <w14:schemeClr w14:val="tx1"/>
            </w14:solidFill>
          </w14:textFill>
        </w:rPr>
        <w:t xml:space="preserve"> 登记管理</w:t>
      </w:r>
    </w:p>
    <w:p w14:paraId="36FF9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第二十六条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应当与</w:t>
      </w:r>
      <w:r>
        <w:rPr>
          <w:rFonts w:hint="eastAsia" w:ascii="宋体" w:hAnsi="宋体" w:eastAsia="仿宋" w:cs="仿宋"/>
          <w:color w:val="000000" w:themeColor="text1"/>
          <w:sz w:val="32"/>
          <w:szCs w:val="32"/>
          <w:lang w:eastAsia="zh-CN"/>
          <w14:textFill>
            <w14:solidFill>
              <w14:schemeClr w14:val="tx1"/>
            </w14:solidFill>
          </w14:textFill>
        </w:rPr>
        <w:t>区自然资源部门</w:t>
      </w:r>
      <w:r>
        <w:rPr>
          <w:rFonts w:hint="eastAsia" w:ascii="宋体" w:hAnsi="宋体" w:eastAsia="仿宋" w:cs="仿宋"/>
          <w:color w:val="000000" w:themeColor="text1"/>
          <w:sz w:val="32"/>
          <w:szCs w:val="32"/>
          <w14:textFill>
            <w14:solidFill>
              <w14:schemeClr w14:val="tx1"/>
            </w14:solidFill>
          </w14:textFill>
        </w:rPr>
        <w:t>等相关部门建立协同和数据共享机制，实现林权流转审核、林业经营收益权登记和林权类不动产登记数据推送共享、权利关联，防止一证多卖、一证多押。</w:t>
      </w:r>
    </w:p>
    <w:p w14:paraId="5374C7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第二十七条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林业经营内容发生变化的，权利人应当及时申请变更登记，确保林业经营收益权证载明信息的准确性。对因未及时申请变更登记造成法律责任和经济损失的，由持证人承担。</w:t>
      </w:r>
    </w:p>
    <w:p w14:paraId="3D58E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第二十八条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林业经营收益权证及登记申请表等原始资料不得涂改，确需修改的，应加盖</w:t>
      </w:r>
      <w:r>
        <w:rPr>
          <w:rFonts w:hint="eastAsia" w:ascii="宋体" w:hAnsi="宋体" w:eastAsia="仿宋" w:cs="仿宋"/>
          <w:color w:val="000000" w:themeColor="text1"/>
          <w:sz w:val="32"/>
          <w:szCs w:val="32"/>
          <w:lang w:eastAsia="zh-CN"/>
          <w14:textFill>
            <w14:solidFill>
              <w14:schemeClr w14:val="tx1"/>
            </w14:solidFill>
          </w14:textFill>
        </w:rPr>
        <w:t>区林业部门</w:t>
      </w:r>
      <w:r>
        <w:rPr>
          <w:rFonts w:hint="eastAsia" w:ascii="宋体" w:hAnsi="宋体" w:eastAsia="仿宋" w:cs="仿宋"/>
          <w:color w:val="000000" w:themeColor="text1"/>
          <w:sz w:val="32"/>
          <w:szCs w:val="32"/>
          <w14:textFill>
            <w14:solidFill>
              <w14:schemeClr w14:val="tx1"/>
            </w14:solidFill>
          </w14:textFill>
        </w:rPr>
        <w:t>的更正章。</w:t>
      </w:r>
    </w:p>
    <w:p w14:paraId="3F4056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第二十九条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发生以下情形之一的，经查证属实，应予以撤销登记</w:t>
      </w:r>
      <w:r>
        <w:rPr>
          <w:rFonts w:hint="eastAsia" w:ascii="宋体" w:hAnsi="宋体" w:eastAsia="仿宋" w:cs="仿宋"/>
          <w:color w:val="000000" w:themeColor="text1"/>
          <w:sz w:val="32"/>
          <w:szCs w:val="32"/>
          <w:lang w:eastAsia="zh-CN"/>
          <w14:textFill>
            <w14:solidFill>
              <w14:schemeClr w14:val="tx1"/>
            </w14:solidFill>
          </w14:textFill>
        </w:rPr>
        <w:t>：</w:t>
      </w:r>
    </w:p>
    <w:p w14:paraId="15B31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（一）提供虚假申请材料的</w:t>
      </w:r>
      <w:r>
        <w:rPr>
          <w:rFonts w:hint="eastAsia" w:ascii="宋体" w:hAnsi="宋体" w:eastAsia="仿宋" w:cs="仿宋"/>
          <w:color w:val="000000" w:themeColor="text1"/>
          <w:sz w:val="32"/>
          <w:szCs w:val="32"/>
          <w:lang w:eastAsia="zh-CN"/>
          <w14:textFill>
            <w14:solidFill>
              <w14:schemeClr w14:val="tx1"/>
            </w14:solidFill>
          </w14:textFill>
        </w:rPr>
        <w:t>；</w:t>
      </w:r>
    </w:p>
    <w:p w14:paraId="5FB481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（二）登记发证机关工作人员徇私舞弊发证的</w:t>
      </w:r>
      <w:r>
        <w:rPr>
          <w:rFonts w:hint="eastAsia" w:ascii="宋体" w:hAnsi="宋体" w:eastAsia="仿宋" w:cs="仿宋"/>
          <w:color w:val="000000" w:themeColor="text1"/>
          <w:sz w:val="32"/>
          <w:szCs w:val="32"/>
          <w:lang w:eastAsia="zh-CN"/>
          <w14:textFill>
            <w14:solidFill>
              <w14:schemeClr w14:val="tx1"/>
            </w14:solidFill>
          </w14:textFill>
        </w:rPr>
        <w:t>；</w:t>
      </w:r>
    </w:p>
    <w:p w14:paraId="70B30E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lang w:eastAsia="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（三）违反本办法规定程序发证的</w:t>
      </w:r>
      <w:r>
        <w:rPr>
          <w:rFonts w:hint="eastAsia" w:ascii="宋体" w:hAnsi="宋体" w:eastAsia="仿宋" w:cs="仿宋"/>
          <w:color w:val="000000" w:themeColor="text1"/>
          <w:sz w:val="32"/>
          <w:szCs w:val="32"/>
          <w:lang w:eastAsia="zh-CN"/>
          <w14:textFill>
            <w14:solidFill>
              <w14:schemeClr w14:val="tx1"/>
            </w14:solidFill>
          </w14:textFill>
        </w:rPr>
        <w:t>；</w:t>
      </w:r>
    </w:p>
    <w:p w14:paraId="201DA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（四）违反法律、法规规定的其他情形。</w:t>
      </w:r>
    </w:p>
    <w:p w14:paraId="2F1A57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发生本条第（一）款情形的，林业经营收益权证自注销之日起两年内，</w:t>
      </w:r>
      <w:r>
        <w:rPr>
          <w:rFonts w:hint="eastAsia" w:ascii="宋体" w:hAnsi="宋体" w:eastAsia="仿宋" w:cs="仿宋"/>
          <w:color w:val="000000" w:themeColor="text1"/>
          <w:sz w:val="32"/>
          <w:szCs w:val="32"/>
          <w:lang w:eastAsia="zh-CN"/>
          <w14:textFill>
            <w14:solidFill>
              <w14:schemeClr w14:val="tx1"/>
            </w14:solidFill>
          </w14:textFill>
        </w:rPr>
        <w:t>区</w:t>
      </w:r>
      <w:r>
        <w:rPr>
          <w:rFonts w:hint="eastAsia" w:ascii="宋体" w:hAnsi="宋体" w:eastAsia="仿宋" w:cs="仿宋"/>
          <w:color w:val="000000" w:themeColor="text1"/>
          <w:sz w:val="32"/>
          <w:szCs w:val="32"/>
          <w14:textFill>
            <w14:solidFill>
              <w14:schemeClr w14:val="tx1"/>
            </w14:solidFill>
          </w14:textFill>
        </w:rPr>
        <w:t>林业部门不得受理该权利人申请资格。</w:t>
      </w:r>
    </w:p>
    <w:p w14:paraId="7213B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p>
    <w:p w14:paraId="30E219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黑体" w:cs="黑体"/>
          <w:b w:val="0"/>
          <w:bCs w:val="0"/>
          <w:color w:val="000000" w:themeColor="text1"/>
          <w:sz w:val="32"/>
          <w:szCs w:val="32"/>
          <w14:textFill>
            <w14:solidFill>
              <w14:schemeClr w14:val="tx1"/>
            </w14:solidFill>
          </w14:textFill>
        </w:rPr>
      </w:pPr>
      <w:r>
        <w:rPr>
          <w:rFonts w:hint="eastAsia" w:ascii="宋体" w:hAnsi="宋体" w:eastAsia="黑体" w:cs="黑体"/>
          <w:b w:val="0"/>
          <w:bCs w:val="0"/>
          <w:color w:val="000000" w:themeColor="text1"/>
          <w:sz w:val="32"/>
          <w:szCs w:val="32"/>
          <w14:textFill>
            <w14:solidFill>
              <w14:schemeClr w14:val="tx1"/>
            </w14:solidFill>
          </w14:textFill>
        </w:rPr>
        <w:t>第六章</w:t>
      </w:r>
      <w:r>
        <w:rPr>
          <w:rFonts w:hint="eastAsia" w:ascii="宋体" w:hAnsi="宋体" w:eastAsia="黑体" w:cs="黑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黑体" w:cs="黑体"/>
          <w:b w:val="0"/>
          <w:bCs w:val="0"/>
          <w:color w:val="000000" w:themeColor="text1"/>
          <w:sz w:val="32"/>
          <w:szCs w:val="32"/>
          <w14:textFill>
            <w14:solidFill>
              <w14:schemeClr w14:val="tx1"/>
            </w14:solidFill>
          </w14:textFill>
        </w:rPr>
        <w:t>附则</w:t>
      </w:r>
    </w:p>
    <w:p w14:paraId="4ED5C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第三十条</w:t>
      </w:r>
      <w:r>
        <w:rPr>
          <w:rFonts w:hint="eastAsia" w:ascii="宋体" w:hAnsi="宋体" w:eastAsia="仿宋" w:cs="仿宋"/>
          <w:color w:val="000000" w:themeColor="text1"/>
          <w:sz w:val="32"/>
          <w:szCs w:val="32"/>
          <w14:textFill>
            <w14:solidFill>
              <w14:schemeClr w14:val="tx1"/>
            </w14:solidFill>
          </w14:textFill>
        </w:rPr>
        <w:t xml:space="preserve"> </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林业经营收益权登记工作经费统一纳入</w:t>
      </w:r>
      <w:r>
        <w:rPr>
          <w:rFonts w:hint="eastAsia" w:ascii="宋体" w:hAnsi="宋体" w:eastAsia="仿宋" w:cs="仿宋"/>
          <w:color w:val="000000" w:themeColor="text1"/>
          <w:sz w:val="32"/>
          <w:szCs w:val="32"/>
          <w:lang w:eastAsia="zh-CN"/>
          <w14:textFill>
            <w14:solidFill>
              <w14:schemeClr w14:val="tx1"/>
            </w14:solidFill>
          </w14:textFill>
        </w:rPr>
        <w:t>区</w:t>
      </w:r>
      <w:r>
        <w:rPr>
          <w:rFonts w:hint="eastAsia" w:ascii="宋体" w:hAnsi="宋体" w:eastAsia="仿宋" w:cs="仿宋"/>
          <w:color w:val="000000" w:themeColor="text1"/>
          <w:sz w:val="32"/>
          <w:szCs w:val="32"/>
          <w14:textFill>
            <w14:solidFill>
              <w14:schemeClr w14:val="tx1"/>
            </w14:solidFill>
          </w14:textFill>
        </w:rPr>
        <w:t>级财政预算，不得向申请人收取任何费用。</w:t>
      </w:r>
    </w:p>
    <w:p w14:paraId="301D2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第三十一条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本办法由</w:t>
      </w:r>
      <w:r>
        <w:rPr>
          <w:rFonts w:hint="eastAsia" w:ascii="宋体" w:hAnsi="宋体" w:eastAsia="仿宋" w:cs="仿宋"/>
          <w:color w:val="000000" w:themeColor="text1"/>
          <w:sz w:val="32"/>
          <w:szCs w:val="32"/>
          <w:lang w:eastAsia="zh-CN"/>
          <w14:textFill>
            <w14:solidFill>
              <w14:schemeClr w14:val="tx1"/>
            </w14:solidFill>
          </w14:textFill>
        </w:rPr>
        <w:t>赣州市南康区人民政府办公室负责解释，具体解释工作由赣州市林业局南康分局</w:t>
      </w:r>
      <w:r>
        <w:rPr>
          <w:rFonts w:hint="eastAsia" w:ascii="宋体" w:hAnsi="宋体" w:eastAsia="仿宋" w:cs="仿宋"/>
          <w:color w:val="000000" w:themeColor="text1"/>
          <w:sz w:val="32"/>
          <w:szCs w:val="32"/>
          <w14:textFill>
            <w14:solidFill>
              <w14:schemeClr w14:val="tx1"/>
            </w14:solidFill>
          </w14:textFill>
        </w:rPr>
        <w:t>负责。</w:t>
      </w:r>
    </w:p>
    <w:p w14:paraId="6948B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楷体" w:cs="楷体"/>
          <w:color w:val="000000" w:themeColor="text1"/>
          <w:sz w:val="32"/>
          <w:szCs w:val="32"/>
          <w14:textFill>
            <w14:solidFill>
              <w14:schemeClr w14:val="tx1"/>
            </w14:solidFill>
          </w14:textFill>
        </w:rPr>
        <w:t>第三十二条</w:t>
      </w:r>
      <w:r>
        <w:rPr>
          <w:rFonts w:hint="eastAsia" w:ascii="宋体" w:hAnsi="宋体"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仿宋" w:cs="仿宋"/>
          <w:color w:val="000000" w:themeColor="text1"/>
          <w:sz w:val="32"/>
          <w:szCs w:val="32"/>
          <w14:textFill>
            <w14:solidFill>
              <w14:schemeClr w14:val="tx1"/>
            </w14:solidFill>
          </w14:textFill>
        </w:rPr>
        <w:t>本办法自</w:t>
      </w:r>
      <w:r>
        <w:rPr>
          <w:rFonts w:hint="eastAsia" w:ascii="宋体" w:hAnsi="宋体" w:eastAsia="仿宋" w:cs="仿宋"/>
          <w:color w:val="000000" w:themeColor="text1"/>
          <w:sz w:val="32"/>
          <w:szCs w:val="32"/>
          <w:lang w:val="en-US" w:eastAsia="zh-CN"/>
          <w14:textFill>
            <w14:solidFill>
              <w14:schemeClr w14:val="tx1"/>
            </w14:solidFill>
          </w14:textFill>
        </w:rPr>
        <w:t>2025年4月21日</w:t>
      </w:r>
      <w:r>
        <w:rPr>
          <w:rFonts w:hint="eastAsia" w:ascii="宋体" w:hAnsi="宋体" w:eastAsia="仿宋" w:cs="仿宋"/>
          <w:color w:val="000000" w:themeColor="text1"/>
          <w:sz w:val="32"/>
          <w:szCs w:val="32"/>
          <w14:textFill>
            <w14:solidFill>
              <w14:schemeClr w14:val="tx1"/>
            </w14:solidFill>
          </w14:textFill>
        </w:rPr>
        <w:t>起</w:t>
      </w:r>
      <w:r>
        <w:rPr>
          <w:rFonts w:hint="eastAsia" w:ascii="宋体" w:hAnsi="宋体" w:eastAsia="仿宋" w:cs="仿宋"/>
          <w:color w:val="000000" w:themeColor="text1"/>
          <w:sz w:val="32"/>
          <w:szCs w:val="32"/>
          <w:lang w:val="en-US" w:eastAsia="zh-CN"/>
          <w14:textFill>
            <w14:solidFill>
              <w14:schemeClr w14:val="tx1"/>
            </w14:solidFill>
          </w14:textFill>
        </w:rPr>
        <w:t>施行，有效期2年，</w:t>
      </w:r>
      <w:r>
        <w:rPr>
          <w:rFonts w:hint="eastAsia" w:ascii="宋体" w:hAnsi="宋体" w:eastAsia="仿宋" w:cs="仿宋"/>
          <w:color w:val="000000" w:themeColor="text1"/>
          <w:sz w:val="32"/>
          <w:szCs w:val="32"/>
          <w14:textFill>
            <w14:solidFill>
              <w14:schemeClr w14:val="tx1"/>
            </w14:solidFill>
          </w14:textFill>
        </w:rPr>
        <w:t>并依据国家相关政策调整情况及时修订。</w:t>
      </w:r>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385BF6-F8A8-45CE-96E1-B44BB47E66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2D32299-281A-45AB-A0D8-75855C3F14E8}"/>
  </w:font>
  <w:font w:name="方正小标宋简体">
    <w:panose1 w:val="02000000000000000000"/>
    <w:charset w:val="86"/>
    <w:family w:val="auto"/>
    <w:pitch w:val="default"/>
    <w:sig w:usb0="00000001" w:usb1="08000000" w:usb2="00000000" w:usb3="00000000" w:csb0="00040000" w:csb1="00000000"/>
    <w:embedRegular r:id="rId3" w:fontKey="{164BB45C-A99D-462F-B833-16C58E142BD5}"/>
  </w:font>
  <w:font w:name="楷体">
    <w:panose1 w:val="02010609060101010101"/>
    <w:charset w:val="86"/>
    <w:family w:val="auto"/>
    <w:pitch w:val="default"/>
    <w:sig w:usb0="800002BF" w:usb1="38CF7CFA" w:usb2="00000016" w:usb3="00000000" w:csb0="00040001" w:csb1="00000000"/>
    <w:embedRegular r:id="rId4" w:fontKey="{D47055AB-B3D2-4EAE-9C99-767CBFDA78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CA0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C081B">
                          <w:pPr>
                            <w:pStyle w:val="4"/>
                            <w:rPr>
                              <w:rFonts w:hint="eastAsia"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EC081B">
                    <w:pPr>
                      <w:pStyle w:val="4"/>
                      <w:rPr>
                        <w:rFonts w:hint="eastAsia"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729599"/>
    <w:multiLevelType w:val="singleLevel"/>
    <w:tmpl w:val="4C7295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MjI2ZjAwYjE2ZDc2NDE2NDIxMGY3MWU3MTFhZjAifQ=="/>
    <w:docVar w:name="KSO_WPS_MARK_KEY" w:val="335cf72d-84e7-4f3b-88e5-639488d44e67"/>
  </w:docVars>
  <w:rsids>
    <w:rsidRoot w:val="00000000"/>
    <w:rsid w:val="01487061"/>
    <w:rsid w:val="02582282"/>
    <w:rsid w:val="038F0F77"/>
    <w:rsid w:val="0526590B"/>
    <w:rsid w:val="061834A6"/>
    <w:rsid w:val="0648365F"/>
    <w:rsid w:val="067F3525"/>
    <w:rsid w:val="08FF5B27"/>
    <w:rsid w:val="0BB73761"/>
    <w:rsid w:val="0C006FE7"/>
    <w:rsid w:val="0C9C42A0"/>
    <w:rsid w:val="0DD72635"/>
    <w:rsid w:val="0F6E2388"/>
    <w:rsid w:val="0F8273B6"/>
    <w:rsid w:val="110F1949"/>
    <w:rsid w:val="11C85B59"/>
    <w:rsid w:val="11FB1779"/>
    <w:rsid w:val="12505D75"/>
    <w:rsid w:val="137361C2"/>
    <w:rsid w:val="13BA3DEE"/>
    <w:rsid w:val="13FF7A53"/>
    <w:rsid w:val="14D47131"/>
    <w:rsid w:val="1548367B"/>
    <w:rsid w:val="158076D1"/>
    <w:rsid w:val="15D649DC"/>
    <w:rsid w:val="16B26FFE"/>
    <w:rsid w:val="170F61FF"/>
    <w:rsid w:val="18B51028"/>
    <w:rsid w:val="196853A2"/>
    <w:rsid w:val="1A442A69"/>
    <w:rsid w:val="1ABD2416"/>
    <w:rsid w:val="1AE259D8"/>
    <w:rsid w:val="1B1679C5"/>
    <w:rsid w:val="1B634D6B"/>
    <w:rsid w:val="1BD016C6"/>
    <w:rsid w:val="1CF71C0F"/>
    <w:rsid w:val="1D3764AF"/>
    <w:rsid w:val="205C6ED5"/>
    <w:rsid w:val="205E3D53"/>
    <w:rsid w:val="20943C19"/>
    <w:rsid w:val="21AB746C"/>
    <w:rsid w:val="22284619"/>
    <w:rsid w:val="22E744D4"/>
    <w:rsid w:val="251315B0"/>
    <w:rsid w:val="258204E4"/>
    <w:rsid w:val="26333BB6"/>
    <w:rsid w:val="26345F88"/>
    <w:rsid w:val="263C610E"/>
    <w:rsid w:val="27475541"/>
    <w:rsid w:val="27934C2A"/>
    <w:rsid w:val="28996270"/>
    <w:rsid w:val="2A377AEF"/>
    <w:rsid w:val="2C7072E8"/>
    <w:rsid w:val="2D1B54A6"/>
    <w:rsid w:val="2D8A43D9"/>
    <w:rsid w:val="2E0E6DB8"/>
    <w:rsid w:val="2F0D7070"/>
    <w:rsid w:val="2FE204FD"/>
    <w:rsid w:val="30146F4B"/>
    <w:rsid w:val="30551A69"/>
    <w:rsid w:val="306453B6"/>
    <w:rsid w:val="31894970"/>
    <w:rsid w:val="322A618B"/>
    <w:rsid w:val="32843AED"/>
    <w:rsid w:val="333252F7"/>
    <w:rsid w:val="337E22EA"/>
    <w:rsid w:val="34050C5E"/>
    <w:rsid w:val="34D04DC8"/>
    <w:rsid w:val="352275ED"/>
    <w:rsid w:val="36341386"/>
    <w:rsid w:val="3660230D"/>
    <w:rsid w:val="366D4898"/>
    <w:rsid w:val="372C6501"/>
    <w:rsid w:val="38327B47"/>
    <w:rsid w:val="38400D2F"/>
    <w:rsid w:val="38E23BCE"/>
    <w:rsid w:val="39CE538F"/>
    <w:rsid w:val="3AC16F61"/>
    <w:rsid w:val="3AF9494C"/>
    <w:rsid w:val="3C8C1F1C"/>
    <w:rsid w:val="3E23240C"/>
    <w:rsid w:val="3EB92D70"/>
    <w:rsid w:val="3FAC01DF"/>
    <w:rsid w:val="3FC96FE3"/>
    <w:rsid w:val="40215422"/>
    <w:rsid w:val="407F67D3"/>
    <w:rsid w:val="41A97577"/>
    <w:rsid w:val="42FF2D1C"/>
    <w:rsid w:val="43000F6E"/>
    <w:rsid w:val="433F136A"/>
    <w:rsid w:val="43515D32"/>
    <w:rsid w:val="440A178A"/>
    <w:rsid w:val="454753E8"/>
    <w:rsid w:val="455E01CE"/>
    <w:rsid w:val="461A0599"/>
    <w:rsid w:val="46262E57"/>
    <w:rsid w:val="47084895"/>
    <w:rsid w:val="478C7274"/>
    <w:rsid w:val="480212E4"/>
    <w:rsid w:val="48643D4D"/>
    <w:rsid w:val="4907292A"/>
    <w:rsid w:val="4B2B0B52"/>
    <w:rsid w:val="4CC74B6F"/>
    <w:rsid w:val="4D012F73"/>
    <w:rsid w:val="4D783DF7"/>
    <w:rsid w:val="4DA17D58"/>
    <w:rsid w:val="4DCC3EF8"/>
    <w:rsid w:val="4DE374C2"/>
    <w:rsid w:val="4E0062C6"/>
    <w:rsid w:val="4F0911AA"/>
    <w:rsid w:val="4F934F18"/>
    <w:rsid w:val="4FBF3F5F"/>
    <w:rsid w:val="4FF736F9"/>
    <w:rsid w:val="500C3DEC"/>
    <w:rsid w:val="50B27620"/>
    <w:rsid w:val="50F65686"/>
    <w:rsid w:val="520420FD"/>
    <w:rsid w:val="53A476F3"/>
    <w:rsid w:val="53C057E0"/>
    <w:rsid w:val="53C25DCC"/>
    <w:rsid w:val="55002E6D"/>
    <w:rsid w:val="55983288"/>
    <w:rsid w:val="55E97E71"/>
    <w:rsid w:val="568850AA"/>
    <w:rsid w:val="56D54068"/>
    <w:rsid w:val="59725B9E"/>
    <w:rsid w:val="597C3F05"/>
    <w:rsid w:val="5AF54CD9"/>
    <w:rsid w:val="5B8A7735"/>
    <w:rsid w:val="5BF8682E"/>
    <w:rsid w:val="5C427AAA"/>
    <w:rsid w:val="5C5F68AD"/>
    <w:rsid w:val="5D0D6885"/>
    <w:rsid w:val="5D8D1BC5"/>
    <w:rsid w:val="5F9F3465"/>
    <w:rsid w:val="6062071A"/>
    <w:rsid w:val="609B00D0"/>
    <w:rsid w:val="61630BEE"/>
    <w:rsid w:val="619A2136"/>
    <w:rsid w:val="620156F3"/>
    <w:rsid w:val="633F6AEC"/>
    <w:rsid w:val="63C36387"/>
    <w:rsid w:val="65C42BC9"/>
    <w:rsid w:val="65E676F8"/>
    <w:rsid w:val="664D59C9"/>
    <w:rsid w:val="66B45A48"/>
    <w:rsid w:val="67C1041C"/>
    <w:rsid w:val="68E3372E"/>
    <w:rsid w:val="698E07D2"/>
    <w:rsid w:val="6A6D6639"/>
    <w:rsid w:val="6BC351AA"/>
    <w:rsid w:val="6D5E171D"/>
    <w:rsid w:val="6DA714D3"/>
    <w:rsid w:val="6E105C5A"/>
    <w:rsid w:val="6F7C731F"/>
    <w:rsid w:val="70891CF3"/>
    <w:rsid w:val="70B2124A"/>
    <w:rsid w:val="72C74D55"/>
    <w:rsid w:val="73192D74"/>
    <w:rsid w:val="735366AB"/>
    <w:rsid w:val="73CB383E"/>
    <w:rsid w:val="75952EE8"/>
    <w:rsid w:val="7662726E"/>
    <w:rsid w:val="76AE5798"/>
    <w:rsid w:val="779A6594"/>
    <w:rsid w:val="77CD0717"/>
    <w:rsid w:val="77F347D4"/>
    <w:rsid w:val="78306EF8"/>
    <w:rsid w:val="783C589D"/>
    <w:rsid w:val="784D09EB"/>
    <w:rsid w:val="78F2239F"/>
    <w:rsid w:val="7B7A0BB6"/>
    <w:rsid w:val="7C111624"/>
    <w:rsid w:val="7CDE2919"/>
    <w:rsid w:val="7DC9372F"/>
    <w:rsid w:val="7E0D3F64"/>
    <w:rsid w:val="7E3C072F"/>
    <w:rsid w:val="7F014491"/>
    <w:rsid w:val="7F5B0CFF"/>
    <w:rsid w:val="7F61547A"/>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100" w:after="100" w:afterAutospacing="1" w:line="600" w:lineRule="exact"/>
      <w:jc w:val="both"/>
      <w:outlineLvl w:val="1"/>
    </w:pPr>
    <w:rPr>
      <w:rFonts w:ascii="Arial" w:hAnsi="Arial"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文本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rPr>
  </w:style>
  <w:style w:type="character" w:customStyle="1" w:styleId="9">
    <w:name w:val="NormalCharacter"/>
    <w:link w:val="10"/>
    <w:qFormat/>
    <w:uiPriority w:val="0"/>
    <w:rPr>
      <w:rFonts w:ascii="Calibri" w:hAnsi="Calibri" w:eastAsia="仿宋_GB2312" w:cs="Times New Roman"/>
      <w:kern w:val="2"/>
      <w:sz w:val="32"/>
      <w:szCs w:val="24"/>
      <w:lang w:val="en-US" w:eastAsia="zh-CN" w:bidi="ar-SA"/>
    </w:rPr>
  </w:style>
  <w:style w:type="paragraph" w:customStyle="1" w:styleId="10">
    <w:name w:val="UserStyle_0"/>
    <w:basedOn w:val="1"/>
    <w:link w:val="9"/>
    <w:qFormat/>
    <w:uiPriority w:val="0"/>
    <w:pPr>
      <w:widowControl/>
      <w:ind w:firstLine="200" w:firstLineChars="200"/>
      <w:jc w:val="left"/>
      <w:textAlignment w:val="baseline"/>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3872</Words>
  <Characters>3890</Characters>
  <Lines>0</Lines>
  <Paragraphs>0</Paragraphs>
  <TotalTime>4</TotalTime>
  <ScaleCrop>false</ScaleCrop>
  <LinksUpToDate>false</LinksUpToDate>
  <CharactersWithSpaces>3966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2024-08-22T03:22:00Z</dcterms:created>
  <dc:creator>Administrator.PC-20220303YAKB</dc:creator>
  <cp:lastModifiedBy>humble servant</cp:lastModifiedBy>
  <cp:lastPrinted>2025-03-21T01:29:00Z</cp:lastPrinted>
  <dcterms:modified xsi:type="dcterms:W3CDTF">2025-09-25T07:06:19Z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C4EF935C8E504AA390F5FD0704318C87_13</vt:lpwstr>
  </property>
  <property fmtid="{D5CDD505-2E9C-101B-9397-08002B2CF9AE}" pid="4" name="KSOTemplateDocerSaveRecord">
    <vt:lpwstr>eyJoZGlkIjoiMzFkMjI2ZjAwYjE2ZDc2NDE2NDIxMGY3MWU3MTFhZjAiLCJ1c2VySWQiOiIxMTc1NTQ4MzE1In0=</vt:lpwstr>
  </property>
</Properties>
</file>