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Cs/>
          <w:color w:val="auto"/>
          <w:spacing w:val="-20"/>
          <w:kern w:val="0"/>
          <w:sz w:val="44"/>
          <w:szCs w:val="44"/>
        </w:rPr>
      </w:pPr>
      <w:r>
        <w:rPr>
          <w:rFonts w:hint="eastAsia" w:ascii="方正小标宋简体" w:hAnsi="方正小标宋简体" w:eastAsia="方正小标宋简体" w:cs="方正小标宋简体"/>
          <w:color w:val="auto"/>
          <w:kern w:val="0"/>
          <w:sz w:val="44"/>
          <w:szCs w:val="44"/>
          <w:lang w:eastAsia="zh-CN"/>
        </w:rPr>
        <w:t>关于</w:t>
      </w:r>
      <w:r>
        <w:rPr>
          <w:rFonts w:hint="eastAsia"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kern w:val="0"/>
          <w:sz w:val="44"/>
          <w:szCs w:val="44"/>
          <w:lang w:eastAsia="zh-CN"/>
        </w:rPr>
        <w:t>赣州市</w:t>
      </w:r>
      <w:r>
        <w:rPr>
          <w:rFonts w:hint="eastAsia" w:ascii="方正小标宋简体" w:hAnsi="方正小标宋简体" w:eastAsia="方正小标宋简体" w:cs="方正小标宋简体"/>
          <w:color w:val="auto"/>
          <w:sz w:val="44"/>
          <w:szCs w:val="44"/>
        </w:rPr>
        <w:t>南康区</w:t>
      </w:r>
      <w:r>
        <w:rPr>
          <w:rFonts w:hint="eastAsia" w:ascii="方正小标宋简体" w:hAnsi="方正小标宋简体" w:eastAsia="方正小标宋简体" w:cs="方正小标宋简体"/>
          <w:color w:val="auto"/>
          <w:sz w:val="44"/>
          <w:szCs w:val="44"/>
          <w:lang w:eastAsia="zh-CN"/>
        </w:rPr>
        <w:t>深化公办养老机构改革实施方案</w:t>
      </w:r>
      <w:r>
        <w:rPr>
          <w:rFonts w:hint="eastAsia" w:ascii="方正小标宋简体" w:hAnsi="方正小标宋简体" w:eastAsia="方正小标宋简体" w:cs="方正小标宋简体"/>
          <w:color w:val="auto"/>
          <w:spacing w:val="-12"/>
          <w:sz w:val="44"/>
          <w:szCs w:val="44"/>
        </w:rPr>
        <w:t>》（送审稿）</w:t>
      </w:r>
      <w:r>
        <w:rPr>
          <w:rFonts w:hint="eastAsia" w:ascii="方正小标宋简体" w:hAnsi="方正小标宋简体" w:eastAsia="方正小标宋简体" w:cs="方正小标宋简体"/>
          <w:bCs/>
          <w:color w:val="auto"/>
          <w:spacing w:val="-20"/>
          <w:kern w:val="0"/>
          <w:sz w:val="44"/>
          <w:szCs w:val="44"/>
        </w:rPr>
        <w:t>的起草说明</w:t>
      </w:r>
    </w:p>
    <w:p>
      <w:pPr>
        <w:pStyle w:val="3"/>
        <w:keepNext w:val="0"/>
        <w:keepLines w:val="0"/>
        <w:pageBreakBefore w:val="0"/>
        <w:kinsoku/>
        <w:wordWrap/>
        <w:overflowPunct/>
        <w:topLinePunct w:val="0"/>
        <w:autoSpaceDE/>
        <w:autoSpaceDN/>
        <w:bidi w:val="0"/>
        <w:snapToGrid w:val="0"/>
        <w:spacing w:line="560" w:lineRule="exact"/>
        <w:jc w:val="center"/>
        <w:textAlignment w:val="auto"/>
        <w:rPr>
          <w:rFonts w:hint="eastAsia" w:ascii="楷体" w:hAnsi="楷体" w:eastAsia="楷体" w:cs="楷体"/>
          <w:bCs/>
          <w:color w:val="auto"/>
          <w:spacing w:val="-20"/>
          <w:kern w:val="0"/>
          <w:sz w:val="32"/>
          <w:szCs w:val="32"/>
          <w:lang w:eastAsia="zh-CN"/>
        </w:rPr>
      </w:pPr>
      <w:r>
        <w:rPr>
          <w:rFonts w:hint="eastAsia" w:ascii="楷体" w:hAnsi="楷体" w:eastAsia="楷体" w:cs="楷体"/>
          <w:bCs/>
          <w:color w:val="auto"/>
          <w:spacing w:val="-20"/>
          <w:kern w:val="0"/>
          <w:sz w:val="32"/>
          <w:szCs w:val="32"/>
          <w:lang w:eastAsia="zh-CN"/>
        </w:rPr>
        <w:t>南康区民政局</w:t>
      </w:r>
    </w:p>
    <w:p>
      <w:pPr>
        <w:pStyle w:val="3"/>
        <w:keepNext w:val="0"/>
        <w:keepLines w:val="0"/>
        <w:pageBreakBefore w:val="0"/>
        <w:kinsoku/>
        <w:wordWrap/>
        <w:overflowPunct/>
        <w:topLinePunct w:val="0"/>
        <w:autoSpaceDE/>
        <w:autoSpaceDN/>
        <w:bidi w:val="0"/>
        <w:snapToGrid w:val="0"/>
        <w:spacing w:line="560" w:lineRule="exact"/>
        <w:jc w:val="center"/>
        <w:textAlignment w:val="auto"/>
        <w:rPr>
          <w:rFonts w:hint="eastAsia" w:ascii="楷体" w:hAnsi="楷体" w:eastAsia="楷体" w:cs="楷体"/>
          <w:bCs/>
          <w:color w:val="auto"/>
          <w:spacing w:val="-20"/>
          <w:kern w:val="0"/>
          <w:sz w:val="32"/>
          <w:szCs w:val="32"/>
          <w:lang w:eastAsia="zh-CN"/>
        </w:rPr>
      </w:pPr>
    </w:p>
    <w:p>
      <w:pPr>
        <w:keepNext w:val="0"/>
        <w:keepLines w:val="0"/>
        <w:pageBreakBefore w:val="0"/>
        <w:kinsoku/>
        <w:wordWrap/>
        <w:overflowPunct/>
        <w:topLinePunct w:val="0"/>
        <w:autoSpaceDE/>
        <w:autoSpaceDN/>
        <w:bidi w:val="0"/>
        <w:adjustRightInd w:val="0"/>
        <w:snapToGrid w:val="0"/>
        <w:spacing w:line="6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一、起草背景</w:t>
      </w:r>
    </w:p>
    <w:p>
      <w:pPr>
        <w:keepNext w:val="0"/>
        <w:keepLines w:val="0"/>
        <w:pageBreakBefore w:val="0"/>
        <w:widowControl/>
        <w:kinsoku/>
        <w:wordWrap/>
        <w:overflowPunct/>
        <w:topLinePunct w:val="0"/>
        <w:autoSpaceDE/>
        <w:autoSpaceDN/>
        <w:bidi w:val="0"/>
        <w:adjustRightInd w:val="0"/>
        <w:snapToGrid w:val="0"/>
        <w:spacing w:line="6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为贯彻落实《赣州市人民政府印发&lt;关于深化公办养老机构改革的实施方案&gt;的通知》（赣市府发〔2022〕18号）文件精神，</w:t>
      </w:r>
      <w:r>
        <w:rPr>
          <w:rFonts w:hint="eastAsia" w:ascii="仿宋" w:hAnsi="仿宋" w:eastAsia="仿宋" w:cs="仿宋"/>
          <w:color w:val="auto"/>
          <w:sz w:val="32"/>
          <w:szCs w:val="32"/>
          <w:lang w:eastAsia="zh-CN"/>
        </w:rPr>
        <w:t>进一步</w:t>
      </w:r>
      <w:r>
        <w:rPr>
          <w:rFonts w:hint="eastAsia" w:ascii="仿宋" w:hAnsi="仿宋" w:eastAsia="仿宋" w:cs="仿宋"/>
          <w:color w:val="auto"/>
          <w:sz w:val="32"/>
          <w:szCs w:val="32"/>
        </w:rPr>
        <w:t>深入实施积极应对人口老龄化国家战略，充分发挥公办养老机构在承担特困人员集中供养责任、履行基本养老服务职能等方面重要作用，明晰职能定位，完善体制机制，增强保障能力，激发运营活力，提升服务水平，努力满足人民群众基本养老服务需求，制定我区公办养老机构改革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仿宋_GB2312"/>
          <w:b w:val="0"/>
          <w:bCs/>
          <w:color w:val="auto"/>
          <w:kern w:val="0"/>
          <w:sz w:val="32"/>
          <w:szCs w:val="32"/>
        </w:rPr>
        <w:t>文稿主要内容概述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textAlignment w:val="auto"/>
        <w:rPr>
          <w:rFonts w:hint="eastAsia" w:ascii="宋体" w:hAnsi="宋体" w:eastAsia="仿宋_GB2312" w:cs="仿宋_GB2312"/>
          <w:color w:val="auto"/>
          <w:sz w:val="32"/>
          <w:szCs w:val="32"/>
        </w:rPr>
      </w:pPr>
      <w:r>
        <w:rPr>
          <w:rStyle w:val="6"/>
          <w:rFonts w:hint="eastAsia" w:ascii="仿宋_GB2312" w:hAnsi="仿宋_GB2312" w:eastAsia="仿宋_GB2312" w:cs="仿宋_GB2312"/>
          <w:b/>
          <w:i w:val="0"/>
          <w:color w:val="auto"/>
          <w:sz w:val="32"/>
          <w:szCs w:val="32"/>
        </w:rPr>
        <w:t>1.明确公办养老机构职能定位。</w:t>
      </w:r>
      <w:r>
        <w:rPr>
          <w:rFonts w:hint="eastAsia" w:ascii="宋体" w:hAnsi="宋体" w:eastAsia="仿宋_GB2312" w:cs="仿宋_GB2312"/>
          <w:color w:val="auto"/>
          <w:sz w:val="32"/>
          <w:szCs w:val="32"/>
        </w:rPr>
        <w:t>坚持</w:t>
      </w:r>
      <w:r>
        <w:rPr>
          <w:rStyle w:val="6"/>
          <w:rFonts w:hint="eastAsia" w:ascii="仿宋_GB2312" w:hAnsi="仿宋_GB2312" w:eastAsia="仿宋_GB2312" w:cs="仿宋_GB2312"/>
          <w:i w:val="0"/>
          <w:color w:val="auto"/>
          <w:sz w:val="32"/>
          <w:szCs w:val="32"/>
        </w:rPr>
        <w:t>公办养老机构</w:t>
      </w:r>
      <w:r>
        <w:rPr>
          <w:rFonts w:hint="eastAsia" w:ascii="宋体" w:hAnsi="宋体" w:eastAsia="仿宋_GB2312" w:cs="仿宋_GB2312"/>
          <w:color w:val="auto"/>
          <w:sz w:val="32"/>
          <w:szCs w:val="32"/>
        </w:rPr>
        <w:t>公益属性不动摇，区级公办养老机构</w:t>
      </w:r>
      <w:r>
        <w:rPr>
          <w:rFonts w:hint="eastAsia" w:ascii="宋体" w:hAnsi="宋体" w:eastAsia="仿宋_GB2312" w:cs="仿宋_GB2312"/>
          <w:color w:val="auto"/>
          <w:sz w:val="32"/>
          <w:szCs w:val="32"/>
          <w:lang w:eastAsia="zh-CN"/>
        </w:rPr>
        <w:t>（区综合福利院）</w:t>
      </w:r>
      <w:r>
        <w:rPr>
          <w:rFonts w:hint="eastAsia" w:ascii="宋体" w:hAnsi="宋体" w:eastAsia="仿宋_GB2312" w:cs="仿宋_GB2312"/>
          <w:color w:val="auto"/>
          <w:sz w:val="32"/>
          <w:szCs w:val="32"/>
        </w:rPr>
        <w:t>打造成统筹城乡的失能失智专业照护中心和医养结合示范型养老机构；</w:t>
      </w:r>
      <w:r>
        <w:rPr>
          <w:rFonts w:hint="eastAsia" w:ascii="宋体" w:hAnsi="宋体" w:eastAsia="仿宋_GB2312" w:cs="仿宋_GB2312"/>
          <w:color w:val="auto"/>
          <w:sz w:val="32"/>
          <w:szCs w:val="32"/>
          <w:lang w:eastAsia="zh-CN"/>
        </w:rPr>
        <w:t>乡镇</w:t>
      </w:r>
      <w:r>
        <w:rPr>
          <w:rFonts w:hint="eastAsia" w:ascii="宋体" w:hAnsi="宋体" w:eastAsia="仿宋_GB2312" w:cs="仿宋_GB2312"/>
          <w:color w:val="auto"/>
          <w:sz w:val="32"/>
          <w:szCs w:val="32"/>
        </w:rPr>
        <w:t>公办养老机构（敬老院）要实现从兜底保障服务机构向区域养老服务中心转型。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rPr>
        <w:t>2.拓展公办养老机构服务功能。</w:t>
      </w:r>
      <w:r>
        <w:rPr>
          <w:rFonts w:hint="eastAsia" w:ascii="宋体" w:hAnsi="宋体" w:eastAsia="仿宋_GB2312" w:cs="仿宋_GB2312"/>
          <w:color w:val="auto"/>
          <w:sz w:val="32"/>
          <w:szCs w:val="32"/>
        </w:rPr>
        <w:t>从保障兜底向承担基本养老服务供给、普惠服务全体老年人转变。积极面向周边老年人提供短期托养、日间照料、家庭养老床位，以及助餐、助浴、助洁、助急、助医等养老延伸服务。</w:t>
      </w:r>
    </w:p>
    <w:p>
      <w:pPr>
        <w:keepNext w:val="0"/>
        <w:keepLines w:val="0"/>
        <w:pageBreakBefore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color w:val="auto"/>
          <w:sz w:val="32"/>
          <w:szCs w:val="32"/>
        </w:rPr>
      </w:pPr>
      <w:r>
        <w:rPr>
          <w:rFonts w:hint="eastAsia" w:ascii="宋体" w:hAnsi="宋体" w:eastAsia="仿宋_GB2312" w:cs="仿宋_GB2312"/>
          <w:b/>
          <w:bCs/>
          <w:color w:val="auto"/>
          <w:sz w:val="32"/>
          <w:szCs w:val="32"/>
        </w:rPr>
        <w:t>3.推进公办养老机构管理体制改革。</w:t>
      </w:r>
      <w:r>
        <w:rPr>
          <w:rFonts w:hint="eastAsia" w:ascii="仿宋" w:hAnsi="仿宋" w:eastAsia="仿宋" w:cs="仿宋"/>
          <w:color w:val="auto"/>
          <w:sz w:val="32"/>
          <w:szCs w:val="32"/>
          <w:lang w:eastAsia="zh-CN"/>
        </w:rPr>
        <w:t>探索将各乡镇敬老院收归区级直管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由区民政局牵头，</w:t>
      </w:r>
      <w:r>
        <w:rPr>
          <w:rFonts w:hint="eastAsia" w:ascii="仿宋" w:hAnsi="仿宋" w:eastAsia="仿宋" w:cs="仿宋"/>
          <w:color w:val="auto"/>
          <w:sz w:val="32"/>
          <w:szCs w:val="32"/>
        </w:rPr>
        <w:t>按照“集中管理、分户核算”的原则，对乡镇敬老院的人、财、物、事等集中管理，统一会计核算和监督。</w:t>
      </w:r>
      <w:r>
        <w:rPr>
          <w:rFonts w:hint="eastAsia" w:ascii="仿宋" w:hAnsi="仿宋" w:eastAsia="仿宋" w:cs="仿宋"/>
          <w:color w:val="auto"/>
          <w:sz w:val="32"/>
          <w:szCs w:val="32"/>
          <w:lang w:eastAsia="zh-CN"/>
        </w:rPr>
        <w:t>各乡镇敬老院的人员实行“区聘、区管、区考核”，各</w:t>
      </w:r>
      <w:r>
        <w:rPr>
          <w:rFonts w:hint="eastAsia" w:ascii="仿宋" w:hAnsi="仿宋" w:eastAsia="仿宋" w:cs="仿宋"/>
          <w:color w:val="auto"/>
          <w:sz w:val="32"/>
          <w:szCs w:val="32"/>
        </w:rPr>
        <w:t>乡镇人民政府（街道办事处）按照属地原则，强化对乡镇（街道）敬老院党的建设、安全生产、疫情防控、服务质量等监督管理，配合做好特困供养等对象入住工作。</w:t>
      </w:r>
    </w:p>
    <w:p>
      <w:pPr>
        <w:keepNext w:val="0"/>
        <w:keepLines w:val="0"/>
        <w:pageBreakBefore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color w:val="auto"/>
          <w:sz w:val="32"/>
          <w:szCs w:val="32"/>
        </w:rPr>
      </w:pPr>
      <w:r>
        <w:rPr>
          <w:rFonts w:hint="eastAsia" w:ascii="宋体" w:hAnsi="宋体" w:eastAsia="仿宋_GB2312" w:cs="仿宋_GB2312"/>
          <w:b/>
          <w:bCs/>
          <w:color w:val="auto"/>
          <w:sz w:val="32"/>
          <w:szCs w:val="32"/>
        </w:rPr>
        <w:t>4.强化公办养老机构编制人事制度改革。</w:t>
      </w:r>
      <w:r>
        <w:rPr>
          <w:rFonts w:hint="eastAsia" w:ascii="仿宋" w:hAnsi="仿宋" w:eastAsia="仿宋" w:cs="仿宋"/>
          <w:b/>
          <w:color w:val="auto"/>
          <w:sz w:val="32"/>
          <w:szCs w:val="32"/>
          <w:lang w:eastAsia="zh-CN"/>
        </w:rPr>
        <w:t>一是</w:t>
      </w:r>
      <w:r>
        <w:rPr>
          <w:rFonts w:hint="eastAsia" w:ascii="仿宋" w:hAnsi="仿宋" w:eastAsia="仿宋" w:cs="仿宋"/>
          <w:b/>
          <w:bCs/>
          <w:color w:val="auto"/>
          <w:sz w:val="32"/>
          <w:szCs w:val="32"/>
        </w:rPr>
        <w:t>健全管理结构。</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养老服务中心以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每10万人口</w:t>
      </w:r>
      <w:r>
        <w:rPr>
          <w:rFonts w:hint="eastAsia" w:ascii="仿宋" w:hAnsi="仿宋" w:eastAsia="仿宋" w:cs="仿宋"/>
          <w:color w:val="auto"/>
          <w:sz w:val="32"/>
          <w:szCs w:val="32"/>
          <w:lang w:eastAsia="zh-CN"/>
        </w:rPr>
        <w:t>核定</w:t>
      </w:r>
      <w:r>
        <w:rPr>
          <w:rFonts w:hint="eastAsia" w:ascii="仿宋" w:hAnsi="仿宋" w:eastAsia="仿宋" w:cs="仿宋"/>
          <w:color w:val="auto"/>
          <w:sz w:val="32"/>
          <w:szCs w:val="32"/>
        </w:rPr>
        <w:t>事业编制1名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基数核定人员编制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乡级人民政府应至少有1-2名人员编制用于从事养老服务质量提升工作。</w:t>
      </w:r>
      <w:r>
        <w:rPr>
          <w:rFonts w:hint="eastAsia" w:ascii="仿宋" w:hAnsi="仿宋" w:eastAsia="仿宋" w:cs="仿宋"/>
          <w:b/>
          <w:bCs/>
          <w:color w:val="auto"/>
          <w:sz w:val="32"/>
          <w:szCs w:val="32"/>
          <w:lang w:eastAsia="zh-CN"/>
        </w:rPr>
        <w:t>二是</w:t>
      </w:r>
      <w:r>
        <w:rPr>
          <w:rFonts w:hint="eastAsia" w:ascii="仿宋" w:hAnsi="仿宋" w:eastAsia="仿宋" w:cs="仿宋"/>
          <w:b/>
          <w:bCs/>
          <w:color w:val="auto"/>
          <w:sz w:val="32"/>
          <w:szCs w:val="32"/>
        </w:rPr>
        <w:t>落实人员编制。</w:t>
      </w:r>
      <w:r>
        <w:rPr>
          <w:rFonts w:hint="eastAsia" w:ascii="仿宋" w:hAnsi="仿宋" w:eastAsia="仿宋" w:cs="仿宋"/>
          <w:color w:val="auto"/>
          <w:sz w:val="32"/>
          <w:szCs w:val="32"/>
        </w:rPr>
        <w:t>区编制部门核定乡镇敬老院事业编制2名，主要用于院长和财务人员（会计），实行定编定岗定人管理，正式列入事业编制管理人员需按政策规定实行事业单位公开招聘。</w:t>
      </w:r>
      <w:r>
        <w:rPr>
          <w:rFonts w:hint="eastAsia" w:ascii="仿宋" w:hAnsi="仿宋" w:eastAsia="仿宋" w:cs="仿宋"/>
          <w:b/>
          <w:bCs/>
          <w:color w:val="auto"/>
          <w:sz w:val="32"/>
          <w:szCs w:val="32"/>
          <w:lang w:eastAsia="zh-CN"/>
        </w:rPr>
        <w:t>三是</w:t>
      </w:r>
      <w:r>
        <w:rPr>
          <w:rFonts w:hint="eastAsia" w:ascii="仿宋" w:hAnsi="仿宋" w:eastAsia="仿宋" w:cs="仿宋"/>
          <w:b/>
          <w:bCs/>
          <w:color w:val="auto"/>
          <w:sz w:val="32"/>
          <w:szCs w:val="32"/>
        </w:rPr>
        <w:t>合理配置人员。</w:t>
      </w:r>
      <w:r>
        <w:rPr>
          <w:rFonts w:hint="eastAsia" w:ascii="仿宋" w:hAnsi="仿宋" w:eastAsia="仿宋" w:cs="仿宋"/>
          <w:color w:val="auto"/>
          <w:sz w:val="32"/>
          <w:szCs w:val="32"/>
        </w:rPr>
        <w:t>按照不低于1：10、1：6、1：3的比例分别为有生活自理能力、部分丧失生活自理能力、完全丧失生活自理能力的老年人配备养老护理员，同时配备必要的老年社会工作者、医护人员、消防安全员和工勤人员。未纳入事业编制管理的</w:t>
      </w:r>
      <w:r>
        <w:rPr>
          <w:rFonts w:hint="eastAsia" w:ascii="仿宋" w:hAnsi="仿宋" w:eastAsia="仿宋" w:cs="仿宋"/>
          <w:color w:val="auto"/>
          <w:kern w:val="0"/>
          <w:sz w:val="32"/>
          <w:szCs w:val="32"/>
          <w:lang w:val="en-US" w:eastAsia="zh-CN"/>
        </w:rPr>
        <w:t>养老护理员、老年社会工作者、医护人员、消防安全员、工勤人</w:t>
      </w:r>
      <w:r>
        <w:rPr>
          <w:rFonts w:hint="eastAsia" w:ascii="仿宋" w:hAnsi="仿宋" w:eastAsia="仿宋" w:cs="仿宋"/>
          <w:color w:val="auto"/>
          <w:sz w:val="32"/>
          <w:szCs w:val="32"/>
        </w:rPr>
        <w:t>员等服务人员，通过签订劳动合同实行聘用制管理</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eastAsia="zh-CN"/>
        </w:rPr>
        <w:t>四是</w:t>
      </w:r>
      <w:r>
        <w:rPr>
          <w:rFonts w:hint="eastAsia" w:ascii="仿宋" w:hAnsi="仿宋" w:eastAsia="仿宋" w:cs="仿宋"/>
          <w:b/>
          <w:bCs/>
          <w:color w:val="auto"/>
          <w:kern w:val="0"/>
          <w:sz w:val="32"/>
          <w:szCs w:val="32"/>
          <w:lang w:val="en-US" w:eastAsia="zh-CN"/>
        </w:rPr>
        <w:t>改革薪酬制度。</w:t>
      </w:r>
      <w:r>
        <w:rPr>
          <w:rFonts w:hint="eastAsia" w:ascii="仿宋" w:hAnsi="仿宋" w:eastAsia="仿宋" w:cs="仿宋"/>
          <w:color w:val="auto"/>
          <w:sz w:val="32"/>
          <w:szCs w:val="32"/>
        </w:rPr>
        <w:t>公办养老机构建立按岗定酬、按工作业绩取酬的内部分配激励机制，考核结果与薪酬分配挂钩。</w:t>
      </w:r>
    </w:p>
    <w:p>
      <w:pPr>
        <w:keepNext w:val="0"/>
        <w:keepLines w:val="0"/>
        <w:pageBreakBefore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宋体" w:hAnsi="宋体"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5.加强公办养老机构人才保障。</w:t>
      </w:r>
      <w:r>
        <w:rPr>
          <w:rFonts w:hint="eastAsia" w:ascii="仿宋_GB2312" w:hAnsi="仿宋_GB2312" w:eastAsia="仿宋_GB2312" w:cs="仿宋_GB2312"/>
          <w:color w:val="auto"/>
          <w:sz w:val="32"/>
          <w:szCs w:val="32"/>
        </w:rPr>
        <w:t>开展养老护理员职业技</w:t>
      </w:r>
      <w:r>
        <w:rPr>
          <w:rFonts w:hint="eastAsia" w:ascii="宋体" w:hAnsi="宋体" w:eastAsia="仿宋_GB2312" w:cs="仿宋_GB2312"/>
          <w:color w:val="auto"/>
          <w:sz w:val="32"/>
          <w:szCs w:val="32"/>
        </w:rPr>
        <w:t>能等级认定，对新取得资质的、在同一机构就职满一年的养老护理员给予一次性补贴。公办养老机构工作的医师、护士、社会工作者等其他专业技术人员在晋升职称时享受与其他医疗卫生机构同等待遇。鼓励大中专</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rPr>
        <w:t>以上学历毕业生入职公办养老机构，</w:t>
      </w:r>
      <w:r>
        <w:rPr>
          <w:rFonts w:hint="eastAsia" w:ascii="宋体" w:hAnsi="宋体" w:eastAsia="仿宋_GB2312" w:cs="仿宋_GB2312"/>
          <w:color w:val="auto"/>
          <w:sz w:val="32"/>
          <w:szCs w:val="32"/>
          <w:shd w:val="clear" w:color="auto" w:fill="FFFFFF"/>
        </w:rPr>
        <w:t>对符合条件的毕业后入职公办养老机构从事一线护理工作且签订3年以上劳动合同聘用的人员给予奖补。</w:t>
      </w:r>
    </w:p>
    <w:p>
      <w:pPr>
        <w:keepNext w:val="0"/>
        <w:keepLines w:val="0"/>
        <w:pageBreakBefore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宋体" w:hAnsi="宋体" w:eastAsia="仿宋_GB2312" w:cs="仿宋_GB2312"/>
          <w:color w:val="auto"/>
          <w:sz w:val="32"/>
          <w:szCs w:val="32"/>
          <w:lang w:eastAsia="zh-CN"/>
        </w:rPr>
      </w:pPr>
      <w:r>
        <w:rPr>
          <w:rFonts w:hint="eastAsia" w:ascii="宋体" w:hAnsi="宋体" w:eastAsia="仿宋_GB2312" w:cs="仿宋_GB2312"/>
          <w:b/>
          <w:bCs/>
          <w:color w:val="auto"/>
          <w:sz w:val="32"/>
          <w:szCs w:val="32"/>
          <w:shd w:val="clear" w:color="auto" w:fill="FFFFFF"/>
        </w:rPr>
        <w:t>6.科学稳妥实施公建民营。</w:t>
      </w:r>
      <w:r>
        <w:rPr>
          <w:rFonts w:hint="eastAsia" w:ascii="宋体" w:hAnsi="宋体" w:eastAsia="仿宋_GB2312" w:cs="仿宋_GB2312"/>
          <w:color w:val="auto"/>
          <w:sz w:val="32"/>
          <w:szCs w:val="32"/>
          <w:shd w:val="clear" w:color="auto" w:fill="FFFFFF"/>
        </w:rPr>
        <w:t>不“一刀切”对公办养老机</w:t>
      </w:r>
      <w:r>
        <w:rPr>
          <w:rFonts w:hint="eastAsia" w:ascii="宋体" w:hAnsi="宋体" w:eastAsia="仿宋_GB2312" w:cs="仿宋_GB2312"/>
          <w:color w:val="auto"/>
          <w:sz w:val="32"/>
          <w:szCs w:val="32"/>
        </w:rPr>
        <w:t>构实施公建民营。</w:t>
      </w:r>
      <w:r>
        <w:rPr>
          <w:rFonts w:hint="eastAsia" w:ascii="仿宋_GB2312" w:hAnsi="仿宋_GB2312" w:eastAsia="仿宋_GB2312" w:cs="仿宋_GB2312"/>
          <w:b w:val="0"/>
          <w:bCs w:val="0"/>
          <w:color w:val="auto"/>
          <w:sz w:val="32"/>
          <w:szCs w:val="32"/>
        </w:rPr>
        <w:t>坚持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宜公则公、宜民则民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原则，规范公办养老服务机构公建民营行为，确保国有资产保值增值。实行公建民营的要</w:t>
      </w:r>
      <w:r>
        <w:rPr>
          <w:rFonts w:hint="eastAsia" w:ascii="仿宋_GB2312" w:hAnsi="仿宋_GB2312" w:eastAsia="仿宋_GB2312" w:cs="仿宋_GB2312"/>
          <w:color w:val="auto"/>
          <w:sz w:val="32"/>
          <w:szCs w:val="32"/>
          <w:lang w:eastAsia="zh-CN"/>
        </w:rPr>
        <w:t>优先保障</w:t>
      </w:r>
      <w:r>
        <w:rPr>
          <w:rFonts w:hint="eastAsia" w:ascii="仿宋_GB2312" w:hAnsi="仿宋_GB2312" w:eastAsia="仿宋_GB2312" w:cs="仿宋_GB2312"/>
          <w:color w:val="auto"/>
          <w:sz w:val="32"/>
          <w:szCs w:val="32"/>
        </w:rPr>
        <w:t>接收政府兜底供养和基本养老服务保障对象</w:t>
      </w:r>
      <w:r>
        <w:rPr>
          <w:rFonts w:hint="eastAsia" w:ascii="仿宋_GB2312" w:hAnsi="仿宋_GB2312" w:eastAsia="仿宋_GB2312" w:cs="仿宋_GB2312"/>
          <w:color w:val="auto"/>
          <w:sz w:val="32"/>
          <w:szCs w:val="32"/>
          <w:lang w:eastAsia="zh-CN"/>
        </w:rPr>
        <w:t>。</w:t>
      </w:r>
    </w:p>
    <w:p>
      <w:pPr>
        <w:keepNext w:val="0"/>
        <w:keepLines w:val="0"/>
        <w:pageBreakBefore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color w:val="auto"/>
          <w:sz w:val="32"/>
          <w:szCs w:val="32"/>
        </w:rPr>
      </w:pPr>
      <w:r>
        <w:rPr>
          <w:rFonts w:hint="eastAsia" w:ascii="宋体" w:hAnsi="宋体" w:eastAsia="仿宋_GB2312" w:cs="仿宋_GB2312"/>
          <w:b/>
          <w:bCs/>
          <w:color w:val="auto"/>
          <w:sz w:val="32"/>
          <w:szCs w:val="32"/>
        </w:rPr>
        <w:t>7.规范公办养老机构服务收费管理。</w:t>
      </w:r>
      <w:r>
        <w:rPr>
          <w:rFonts w:hint="eastAsia" w:ascii="仿宋" w:hAnsi="仿宋" w:eastAsia="仿宋" w:cs="仿宋"/>
          <w:color w:val="auto"/>
          <w:sz w:val="32"/>
          <w:szCs w:val="32"/>
        </w:rPr>
        <w:t>公办公营养老机构定价应当符合保基本原则，区分服务对象实行不同收费标准。</w:t>
      </w:r>
    </w:p>
    <w:p>
      <w:pPr>
        <w:keepNext w:val="0"/>
        <w:keepLines w:val="0"/>
        <w:pageBreakBefore w:val="0"/>
        <w:pBdr>
          <w:bottom w:val="single" w:color="FFFFFF" w:sz="4" w:space="24"/>
        </w:pBdr>
        <w:kinsoku/>
        <w:wordWrap/>
        <w:overflowPunct/>
        <w:topLinePunct w:val="0"/>
        <w:autoSpaceDE/>
        <w:autoSpaceDN/>
        <w:bidi w:val="0"/>
        <w:adjustRightInd w:val="0"/>
        <w:snapToGrid w:val="0"/>
        <w:spacing w:line="6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color w:val="auto"/>
          <w:sz w:val="32"/>
          <w:szCs w:val="32"/>
        </w:rPr>
        <w:t>工作要求</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加强组织领导。</w:t>
      </w:r>
      <w:r>
        <w:rPr>
          <w:rFonts w:hint="eastAsia" w:ascii="仿宋" w:hAnsi="仿宋" w:eastAsia="仿宋" w:cs="仿宋"/>
          <w:color w:val="auto"/>
          <w:sz w:val="32"/>
          <w:szCs w:val="32"/>
        </w:rPr>
        <w:t>建立健全</w:t>
      </w:r>
      <w:r>
        <w:rPr>
          <w:rFonts w:hint="eastAsia" w:ascii="仿宋" w:hAnsi="仿宋" w:eastAsia="仿宋" w:cs="仿宋"/>
          <w:color w:val="auto"/>
          <w:sz w:val="32"/>
          <w:szCs w:val="32"/>
          <w:lang w:eastAsia="zh-CN"/>
        </w:rPr>
        <w:t>区委、区政府</w:t>
      </w:r>
      <w:r>
        <w:rPr>
          <w:rFonts w:hint="eastAsia" w:ascii="仿宋" w:hAnsi="仿宋" w:eastAsia="仿宋" w:cs="仿宋"/>
          <w:color w:val="auto"/>
          <w:sz w:val="32"/>
          <w:szCs w:val="32"/>
        </w:rPr>
        <w:t>主导、区</w:t>
      </w:r>
      <w:r>
        <w:rPr>
          <w:rFonts w:hint="eastAsia" w:ascii="仿宋" w:hAnsi="仿宋" w:eastAsia="仿宋" w:cs="仿宋"/>
          <w:color w:val="auto"/>
          <w:sz w:val="32"/>
          <w:szCs w:val="32"/>
          <w:lang w:eastAsia="zh-CN"/>
        </w:rPr>
        <w:t>民政局</w:t>
      </w:r>
      <w:r>
        <w:rPr>
          <w:rFonts w:hint="eastAsia" w:ascii="仿宋" w:hAnsi="仿宋" w:eastAsia="仿宋" w:cs="仿宋"/>
          <w:color w:val="auto"/>
          <w:sz w:val="32"/>
          <w:szCs w:val="32"/>
        </w:rPr>
        <w:t>牵头、各</w:t>
      </w:r>
      <w:r>
        <w:rPr>
          <w:rFonts w:hint="eastAsia" w:ascii="仿宋" w:hAnsi="仿宋" w:eastAsia="仿宋" w:cs="仿宋"/>
          <w:color w:val="auto"/>
          <w:sz w:val="32"/>
          <w:szCs w:val="32"/>
          <w:lang w:eastAsia="zh-CN"/>
        </w:rPr>
        <w:t>乡（镇、街道）和各</w:t>
      </w:r>
      <w:r>
        <w:rPr>
          <w:rFonts w:hint="eastAsia" w:ascii="仿宋" w:hAnsi="仿宋" w:eastAsia="仿宋" w:cs="仿宋"/>
          <w:color w:val="auto"/>
          <w:sz w:val="32"/>
          <w:szCs w:val="32"/>
        </w:rPr>
        <w:t>有关部门共同参与的公办养老机构改革工作机制，有序推进公办养老机构改革工作。将公办养老机构改革纳入我区综合考核内容。</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加强部门协作。</w:t>
      </w:r>
      <w:r>
        <w:rPr>
          <w:rFonts w:hint="eastAsia" w:ascii="仿宋" w:hAnsi="仿宋" w:eastAsia="仿宋" w:cs="仿宋"/>
          <w:b w:val="0"/>
          <w:bCs w:val="0"/>
          <w:color w:val="auto"/>
          <w:sz w:val="32"/>
          <w:szCs w:val="32"/>
          <w:lang w:eastAsia="zh-CN"/>
        </w:rPr>
        <w:t>区</w:t>
      </w:r>
      <w:r>
        <w:rPr>
          <w:rFonts w:hint="eastAsia" w:ascii="仿宋" w:hAnsi="仿宋" w:eastAsia="仿宋" w:cs="仿宋"/>
          <w:b w:val="0"/>
          <w:bCs w:val="0"/>
          <w:color w:val="auto"/>
          <w:sz w:val="32"/>
          <w:szCs w:val="32"/>
        </w:rPr>
        <w:t>民政</w:t>
      </w:r>
      <w:r>
        <w:rPr>
          <w:rFonts w:hint="eastAsia" w:ascii="仿宋" w:hAnsi="仿宋" w:eastAsia="仿宋" w:cs="仿宋"/>
          <w:b w:val="0"/>
          <w:bCs w:val="0"/>
          <w:color w:val="auto"/>
          <w:sz w:val="32"/>
          <w:szCs w:val="32"/>
          <w:lang w:eastAsia="zh-CN"/>
        </w:rPr>
        <w:t>局</w:t>
      </w:r>
      <w:r>
        <w:rPr>
          <w:rFonts w:hint="eastAsia" w:ascii="仿宋" w:hAnsi="仿宋" w:eastAsia="仿宋" w:cs="仿宋"/>
          <w:b w:val="0"/>
          <w:bCs w:val="0"/>
          <w:color w:val="auto"/>
          <w:sz w:val="32"/>
          <w:szCs w:val="32"/>
        </w:rPr>
        <w:t>牵头推动公办养老机构改革，提升管理服务水平，推动公办养老机构高质量发展。</w:t>
      </w:r>
      <w:r>
        <w:rPr>
          <w:rFonts w:hint="eastAsia" w:ascii="宋体" w:hAnsi="宋体" w:eastAsia="仿宋_GB2312" w:cs="仿宋_GB2312"/>
          <w:b w:val="0"/>
          <w:bCs w:val="0"/>
          <w:color w:val="auto"/>
          <w:sz w:val="32"/>
          <w:szCs w:val="32"/>
        </w:rPr>
        <w:t>其他相关部门要按照职责划分开展工作。</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加强经费保障。</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财政</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要根据公办养老机构实际入住特困供养对象人数，按照每人每月</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rPr>
        <w:t>元的标准保障公办养老机构正常运维经费。要落实特困供养对象和公办养老机构工作人员相关经费，并列入财政预算，及时足额拨付。要多渠道筹措资金，加大政府专项债等支持力度，加快推进公办养老机构基础设施建设。要为公办养老机构出资购买意外责任保险，提高机构防范和化解运营风险能力。</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line="62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加强监管考核。</w:t>
      </w:r>
      <w:r>
        <w:rPr>
          <w:rFonts w:hint="eastAsia" w:ascii="仿宋" w:hAnsi="仿宋" w:eastAsia="仿宋" w:cs="仿宋"/>
          <w:color w:val="auto"/>
          <w:sz w:val="32"/>
          <w:szCs w:val="32"/>
        </w:rPr>
        <w:t>加强对公办养老机构的考核，按照设施建设标准化、管理服务规范化、文娱活动多样化的原则，采取平时检查和年终考核相结合的方式，统一考核标准，建立考核激励机制，打造一批示范性公办养老机构。</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line="62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四、征求意见情况</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通过OA系统向</w:t>
      </w:r>
      <w:r>
        <w:rPr>
          <w:rFonts w:hint="eastAsia" w:ascii="仿宋_GB2312" w:hAnsi="仿宋_GB2312" w:eastAsia="仿宋_GB2312" w:cs="仿宋_GB2312"/>
          <w:b w:val="0"/>
          <w:bCs w:val="0"/>
          <w:color w:val="auto"/>
          <w:sz w:val="32"/>
          <w:szCs w:val="32"/>
          <w:lang w:eastAsia="zh-CN"/>
        </w:rPr>
        <w:t>各乡（镇）人民政府、各街道办事处、南水开发办、区委组织部、区委编办、区发改委、区财政局、区人社局、区卫健委、区退役军人事务管理局、区应急管理局、区住建局、区消防救援大队、区税务局</w:t>
      </w:r>
      <w:r>
        <w:rPr>
          <w:rFonts w:hint="eastAsia" w:ascii="仿宋_GB2312" w:hAnsi="仿宋_GB2312" w:eastAsia="仿宋_GB2312" w:cs="仿宋_GB2312"/>
          <w:color w:val="auto"/>
          <w:sz w:val="32"/>
          <w:szCs w:val="32"/>
          <w:lang w:val="en-US" w:eastAsia="zh-CN"/>
        </w:rPr>
        <w:t>等单位征求意见</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各乡（镇）人民政府、各街道办事处、南水开发办、区委组织部、区发改委、区人社局、区卫健委、区退役军人事务管理局、区应急管理局、区住建局、区消防救援大队、区税务局</w:t>
      </w:r>
      <w:r>
        <w:rPr>
          <w:rFonts w:hint="eastAsia" w:ascii="仿宋_GB2312" w:hAnsi="仿宋_GB2312" w:eastAsia="仿宋_GB2312" w:cs="仿宋_GB2312"/>
          <w:color w:val="auto"/>
          <w:sz w:val="32"/>
          <w:szCs w:val="32"/>
          <w:lang w:val="en-US" w:eastAsia="zh-CN"/>
        </w:rPr>
        <w:t>反馈无意见。</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区财政局、区委编办等单位提出了意见建议，详情见《征求意见采纳情况一览表》。</w:t>
      </w:r>
    </w:p>
    <w:p>
      <w:pPr>
        <w:keepNext w:val="0"/>
        <w:keepLines w:val="0"/>
        <w:pageBreakBefore w:val="0"/>
        <w:widowControl w:val="0"/>
        <w:kinsoku/>
        <w:wordWrap/>
        <w:overflowPunct/>
        <w:topLinePunct w:val="0"/>
        <w:autoSpaceDE/>
        <w:autoSpaceDN/>
        <w:bidi w:val="0"/>
        <w:adjustRightInd/>
        <w:snapToGrid w:val="0"/>
        <w:spacing w:line="620" w:lineRule="exact"/>
        <w:ind w:left="1850" w:leftChars="304" w:right="0" w:rightChars="0" w:hanging="1212" w:hangingChars="379"/>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eastAsia="zh-CN" w:bidi="ar-SA"/>
        </w:rPr>
        <w:t>附件：</w:t>
      </w:r>
      <w:r>
        <w:rPr>
          <w:rFonts w:hint="eastAsia" w:ascii="仿宋" w:hAnsi="仿宋" w:eastAsia="仿宋" w:cs="仿宋"/>
          <w:color w:val="auto"/>
          <w:kern w:val="2"/>
          <w:sz w:val="32"/>
          <w:szCs w:val="32"/>
          <w:lang w:val="en-US" w:eastAsia="zh-CN" w:bidi="ar-SA"/>
        </w:rPr>
        <w:t>征求意见采纳情况一览表</w:t>
      </w:r>
    </w:p>
    <w:p>
      <w:pPr>
        <w:pStyle w:val="3"/>
        <w:keepNext w:val="0"/>
        <w:keepLines w:val="0"/>
        <w:pageBreakBefore w:val="0"/>
        <w:numPr>
          <w:ilvl w:val="0"/>
          <w:numId w:val="0"/>
        </w:numPr>
        <w:kinsoku/>
        <w:wordWrap/>
        <w:overflowPunct/>
        <w:topLinePunct w:val="0"/>
        <w:autoSpaceDE/>
        <w:autoSpaceDN/>
        <w:bidi w:val="0"/>
        <w:snapToGrid w:val="0"/>
        <w:spacing w:line="560" w:lineRule="exact"/>
        <w:ind w:left="1600" w:leftChars="0"/>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ind w:left="1600" w:leftChars="0"/>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ind w:left="1600" w:leftChars="0"/>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ind w:left="1600" w:leftChars="0"/>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仿宋" w:hAnsi="仿宋" w:eastAsia="仿宋" w:cs="仿宋"/>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default"/>
          <w:color w:val="auto"/>
          <w:lang w:val="en-US" w:eastAsia="zh-CN"/>
        </w:rPr>
      </w:pPr>
      <w:r>
        <w:rPr>
          <w:rFonts w:hint="eastAsia" w:ascii="仿宋" w:hAnsi="仿宋" w:eastAsia="仿宋" w:cs="仿宋"/>
          <w:color w:val="auto"/>
          <w:sz w:val="32"/>
          <w:szCs w:val="32"/>
          <w:lang w:val="en-US" w:eastAsia="zh-CN"/>
        </w:rPr>
        <w:t>附件</w:t>
      </w:r>
    </w:p>
    <w:tbl>
      <w:tblPr>
        <w:tblStyle w:val="4"/>
        <w:tblW w:w="10269" w:type="dxa"/>
        <w:tblInd w:w="-9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
        <w:gridCol w:w="1260"/>
        <w:gridCol w:w="4809"/>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269" w:type="dxa"/>
            <w:gridSpan w:val="4"/>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rPr>
              <w:t>征求意见采纳情况一览表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黑体" w:hAnsi="宋体" w:eastAsia="黑体" w:cs="黑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单位名称</w:t>
            </w:r>
          </w:p>
        </w:tc>
        <w:tc>
          <w:tcPr>
            <w:tcW w:w="48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意见及依据</w:t>
            </w:r>
          </w:p>
        </w:tc>
        <w:tc>
          <w:tcPr>
            <w:tcW w:w="3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采纳情况及理由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已反馈意见单位</w:t>
            </w:r>
          </w:p>
        </w:tc>
        <w:tc>
          <w:tcPr>
            <w:tcW w:w="12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区财政局</w:t>
            </w:r>
          </w:p>
        </w:tc>
        <w:tc>
          <w:tcPr>
            <w:tcW w:w="4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1.第9点“组建养老集团”</w:t>
            </w:r>
            <w:r>
              <w:rPr>
                <w:rFonts w:hint="eastAsia" w:ascii="仿宋" w:hAnsi="仿宋" w:eastAsia="仿宋" w:cs="仿宋"/>
                <w:i w:val="0"/>
                <w:iCs w:val="0"/>
                <w:color w:val="000000"/>
                <w:kern w:val="0"/>
                <w:sz w:val="24"/>
                <w:szCs w:val="24"/>
                <w:u w:val="none"/>
                <w:lang w:val="en-US" w:eastAsia="zh-CN"/>
              </w:rPr>
              <w:br w:type="textWrapping"/>
            </w:r>
            <w:r>
              <w:rPr>
                <w:rFonts w:hint="eastAsia" w:ascii="仿宋" w:hAnsi="仿宋" w:eastAsia="仿宋" w:cs="仿宋"/>
                <w:i w:val="0"/>
                <w:iCs w:val="0"/>
                <w:color w:val="000000"/>
                <w:kern w:val="0"/>
                <w:sz w:val="24"/>
                <w:szCs w:val="24"/>
                <w:u w:val="none"/>
                <w:lang w:val="en-US" w:eastAsia="zh-CN"/>
              </w:rPr>
              <w:t>建议参照市级实施方案内容修改为：“积极探索将区内符合条件的培训疗养机构整合为国有养老服务企业”。</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000000"/>
                <w:sz w:val="24"/>
                <w:szCs w:val="24"/>
                <w:u w:val="none"/>
              </w:rPr>
            </w:pPr>
          </w:p>
        </w:tc>
        <w:tc>
          <w:tcPr>
            <w:tcW w:w="4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2.第18点“规范收支管理”</w:t>
            </w:r>
            <w:r>
              <w:rPr>
                <w:rFonts w:hint="eastAsia" w:ascii="仿宋" w:hAnsi="仿宋" w:eastAsia="仿宋" w:cs="仿宋"/>
                <w:i w:val="0"/>
                <w:iCs w:val="0"/>
                <w:color w:val="000000"/>
                <w:kern w:val="0"/>
                <w:sz w:val="24"/>
                <w:szCs w:val="24"/>
                <w:u w:val="none"/>
                <w:lang w:val="en-US" w:eastAsia="zh-CN"/>
              </w:rPr>
              <w:br w:type="textWrapping"/>
            </w:r>
            <w:r>
              <w:rPr>
                <w:rFonts w:hint="eastAsia" w:ascii="仿宋" w:hAnsi="仿宋" w:eastAsia="仿宋" w:cs="仿宋"/>
                <w:i w:val="0"/>
                <w:iCs w:val="0"/>
                <w:color w:val="000000"/>
                <w:kern w:val="0"/>
                <w:sz w:val="24"/>
                <w:szCs w:val="24"/>
                <w:u w:val="none"/>
                <w:lang w:val="en-US" w:eastAsia="zh-CN"/>
              </w:rPr>
              <w:t>根据赣财税【2022】25号规定，2023年起，涉及的事业单位经营服务性收入不再纳入非税管理，建议修改为：“由养老机构按照相关规定，加强会计核算，实行收支两条线管理”。</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5" w:hRule="atLeast"/>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000000"/>
                <w:sz w:val="24"/>
                <w:szCs w:val="24"/>
                <w:u w:val="none"/>
              </w:rPr>
            </w:pPr>
          </w:p>
        </w:tc>
        <w:tc>
          <w:tcPr>
            <w:tcW w:w="4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3.“加强经费保障”</w:t>
            </w:r>
            <w:r>
              <w:rPr>
                <w:rFonts w:hint="eastAsia" w:ascii="仿宋" w:hAnsi="仿宋" w:eastAsia="仿宋" w:cs="仿宋"/>
                <w:i w:val="0"/>
                <w:iCs w:val="0"/>
                <w:color w:val="000000"/>
                <w:kern w:val="0"/>
                <w:sz w:val="24"/>
                <w:szCs w:val="24"/>
                <w:u w:val="none"/>
                <w:lang w:val="en-US" w:eastAsia="zh-CN"/>
              </w:rPr>
              <w:br w:type="textWrapping"/>
            </w:r>
            <w:r>
              <w:rPr>
                <w:rFonts w:ascii="Calibri" w:hAnsi="Calibri" w:eastAsia="仿宋" w:cs="Calibri"/>
                <w:i w:val="0"/>
                <w:iCs w:val="0"/>
                <w:color w:val="000000"/>
                <w:kern w:val="0"/>
                <w:sz w:val="24"/>
                <w:szCs w:val="24"/>
                <w:u w:val="none"/>
                <w:lang w:val="en-US" w:eastAsia="zh-CN"/>
              </w:rPr>
              <w:t>①</w:t>
            </w:r>
            <w:r>
              <w:rPr>
                <w:rStyle w:val="7"/>
                <w:lang w:val="en-US" w:eastAsia="zh-CN"/>
              </w:rPr>
              <w:t>建议修改为：“按照每人每月200元的标准保障公办养老机构正常运维经费”。</w:t>
            </w:r>
            <w:r>
              <w:rPr>
                <w:rStyle w:val="7"/>
                <w:lang w:val="en-US" w:eastAsia="zh-CN"/>
              </w:rPr>
              <w:br w:type="textWrapping"/>
            </w:r>
            <w:r>
              <w:rPr>
                <w:rStyle w:val="7"/>
                <w:lang w:val="en-US" w:eastAsia="zh-CN"/>
              </w:rPr>
              <w:t>②删除“要将养老护理员一次性入职补贴、中专及以上学历毕业生入职公办养老机构奖补等资金列入预算并据实发放”，相关补助所需资金由所在机构向区人才、就业部门申请或通过自筹、财政已安排的补助资金中解决。</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①采纳。</w:t>
            </w:r>
            <w:r>
              <w:rPr>
                <w:rFonts w:hint="eastAsia" w:ascii="仿宋" w:hAnsi="仿宋" w:eastAsia="仿宋" w:cs="仿宋"/>
                <w:b/>
                <w:bCs/>
                <w:i w:val="0"/>
                <w:iCs w:val="0"/>
                <w:color w:val="000000"/>
                <w:kern w:val="0"/>
                <w:sz w:val="24"/>
                <w:szCs w:val="24"/>
                <w:u w:val="none"/>
                <w:lang w:val="en-US" w:eastAsia="zh-CN"/>
              </w:rPr>
              <w:br w:type="textWrapping"/>
            </w:r>
            <w:r>
              <w:rPr>
                <w:rFonts w:hint="eastAsia" w:ascii="仿宋" w:hAnsi="仿宋" w:eastAsia="仿宋" w:cs="仿宋"/>
                <w:b/>
                <w:bCs/>
                <w:i w:val="0"/>
                <w:iCs w:val="0"/>
                <w:color w:val="000000"/>
                <w:kern w:val="0"/>
                <w:sz w:val="24"/>
                <w:szCs w:val="24"/>
                <w:u w:val="none"/>
                <w:lang w:val="en-US" w:eastAsia="zh-CN"/>
              </w:rPr>
              <w:t>②不采纳。</w:t>
            </w:r>
            <w:r>
              <w:rPr>
                <w:rStyle w:val="7"/>
                <w:lang w:val="en-US" w:eastAsia="zh-CN"/>
              </w:rPr>
              <w:t>不同意删除“要将养老护理员一次性入职补贴、中专及以上学历毕业生入职公办养老机构奖补等资金列入预算并据实发放”，发放养老护理员补贴为省市文件强制要求。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000000"/>
                <w:sz w:val="24"/>
                <w:szCs w:val="24"/>
                <w:u w:val="none"/>
              </w:rPr>
            </w:pPr>
          </w:p>
        </w:tc>
        <w:tc>
          <w:tcPr>
            <w:tcW w:w="4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4.对“1.强化基本保障、3.强化应急救援、5.改进服务方式、10.健全管理结构、11.落实人员编制、17.明确定价原则”等不涉及财政事项的，删除财政局责任单位。</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不采纳。</w:t>
            </w:r>
            <w:r>
              <w:rPr>
                <w:rStyle w:val="7"/>
                <w:lang w:val="en-US" w:eastAsia="zh-CN"/>
              </w:rPr>
              <w:t>“1.强化基本保障、3.强化应急救援、5.改进服务方式、10.健全管理结构、11.落实人员编制、17.明确定价原则”等方面内容涉及财政资金支持，区财政局属于责任单位。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区委编办</w:t>
            </w:r>
          </w:p>
        </w:tc>
        <w:tc>
          <w:tcPr>
            <w:tcW w:w="4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二、主要任务→（四）强化公办养老机构编制人事制度改革→10.健全管理结构”中“乡级人民政府应至少有1—2名人员编制用于从事养老服务质量提升工作”修改为“乡级人民政府应至少有1—2名人员从事养老服务质量提升工作”。</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不采纳。</w:t>
            </w:r>
            <w:r>
              <w:rPr>
                <w:rStyle w:val="7"/>
                <w:lang w:val="en-US" w:eastAsia="zh-CN"/>
              </w:rPr>
              <w:t>省市文件明确要求区编制部门核定乡镇敬老院事业编制2名，主要用于院长和财务人员（会计），实行定编定岗定人管理。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各乡（镇、街道）</w:t>
            </w:r>
          </w:p>
        </w:tc>
        <w:tc>
          <w:tcPr>
            <w:tcW w:w="4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无意见</w:t>
            </w:r>
          </w:p>
        </w:tc>
        <w:tc>
          <w:tcPr>
            <w:tcW w:w="3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D1484F-7BDB-4716-ACB2-055573E01D8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B2E9AE8-612F-443F-8428-4FF90427B32C}"/>
  </w:font>
  <w:font w:name="仿宋">
    <w:panose1 w:val="02010609060101010101"/>
    <w:charset w:val="86"/>
    <w:family w:val="auto"/>
    <w:pitch w:val="default"/>
    <w:sig w:usb0="800002BF" w:usb1="38CF7CFA" w:usb2="00000016" w:usb3="00000000" w:csb0="00040001" w:csb1="00000000"/>
    <w:embedRegular r:id="rId3" w:fontKey="{D50E4FA5-5BFB-4286-A4E6-5E28CBB45970}"/>
  </w:font>
  <w:font w:name="方正小标宋简体">
    <w:panose1 w:val="02000000000000000000"/>
    <w:charset w:val="86"/>
    <w:family w:val="auto"/>
    <w:pitch w:val="default"/>
    <w:sig w:usb0="00000001" w:usb1="08000000" w:usb2="00000000" w:usb3="00000000" w:csb0="00040000" w:csb1="00000000"/>
    <w:embedRegular r:id="rId4" w:fontKey="{54518E2B-714C-4597-BA58-8D063B86E2FA}"/>
  </w:font>
  <w:font w:name="楷体">
    <w:panose1 w:val="02010609060101010101"/>
    <w:charset w:val="86"/>
    <w:family w:val="auto"/>
    <w:pitch w:val="default"/>
    <w:sig w:usb0="800002BF" w:usb1="38CF7CFA" w:usb2="00000016" w:usb3="00000000" w:csb0="00040001" w:csb1="00000000"/>
    <w:embedRegular r:id="rId5" w:fontKey="{FCA84F71-5217-474E-A37F-FFC29CC9041E}"/>
  </w:font>
  <w:font w:name="仿宋_GB2312">
    <w:altName w:val="仿宋"/>
    <w:panose1 w:val="02010609030001010101"/>
    <w:charset w:val="86"/>
    <w:family w:val="auto"/>
    <w:pitch w:val="default"/>
    <w:sig w:usb0="00000000" w:usb1="00000000" w:usb2="00000000" w:usb3="00000000" w:csb0="00040000" w:csb1="00000000"/>
    <w:embedRegular r:id="rId6" w:fontKey="{A7F49DE3-B93A-4BEE-94A0-30C4318FDA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ZmNkOTVlYWJkNWZkMGRhZTlkMDY3YzIzZmMwYjIifQ=="/>
  </w:docVars>
  <w:rsids>
    <w:rsidRoot w:val="00000000"/>
    <w:rsid w:val="5E81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 Text_f817479b-2dc2-4cdf-a2ca-41ab4b5ae479"/>
    <w:basedOn w:val="1"/>
    <w:qFormat/>
    <w:uiPriority w:val="0"/>
    <w:rPr>
      <w:rFonts w:ascii="宋体" w:hAnsi="Courier New" w:eastAsia="宋体" w:cs="宋体"/>
      <w:szCs w:val="21"/>
    </w:rPr>
  </w:style>
  <w:style w:type="paragraph" w:styleId="3">
    <w:name w:val="footnote text"/>
    <w:basedOn w:val="1"/>
    <w:qFormat/>
    <w:uiPriority w:val="99"/>
    <w:pPr>
      <w:snapToGrid w:val="0"/>
      <w:jc w:val="left"/>
    </w:pPr>
  </w:style>
  <w:style w:type="character" w:customStyle="1" w:styleId="6">
    <w:name w:val="不明显强调1"/>
    <w:basedOn w:val="5"/>
    <w:qFormat/>
    <w:uiPriority w:val="0"/>
    <w:rPr>
      <w:rFonts w:ascii="Times New Roman" w:hAnsi="Times New Roman" w:eastAsia="宋体" w:cs="Times New Roman"/>
      <w:i/>
      <w:iCs/>
      <w:color w:val="808080"/>
    </w:rPr>
  </w:style>
  <w:style w:type="character" w:customStyle="1" w:styleId="7">
    <w:name w:val="font11"/>
    <w:basedOn w:val="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2023-08-02T01:24:28Z</dcterms:created>
  <dc:creator>Administrator</dc:creator>
  <cp:lastModifiedBy>WPS_1684832546</cp:lastModifiedBy>
  <dcterms:modified xsi:type="dcterms:W3CDTF">2023-08-02T01:24:56Z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35C2533240FD477FB03DC3648CC0B696_12</vt:lpwstr>
  </property>
</Properties>
</file>