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仿宋_GB2312" w:eastAsia="方正小标宋简体"/>
          <w:sz w:val="44"/>
          <w:szCs w:val="44"/>
          <w:lang w:eastAsia="zh-CN"/>
        </w:rPr>
      </w:pPr>
      <w:r>
        <w:rPr>
          <w:rFonts w:hint="eastAsia" w:ascii="方正小标宋简体" w:hAnsi="仿宋_GB2312" w:eastAsia="方正小标宋简体"/>
          <w:sz w:val="44"/>
          <w:szCs w:val="44"/>
        </w:rPr>
        <w:t>赣州市南康区财政国库集中收付核算中心</w:t>
      </w:r>
      <w:r>
        <w:rPr>
          <w:rFonts w:hint="eastAsia" w:ascii="方正小标宋简体" w:hAnsi="仿宋_GB2312" w:eastAsia="方正小标宋简体"/>
          <w:sz w:val="44"/>
          <w:szCs w:val="44"/>
          <w:lang w:eastAsia="zh-CN"/>
        </w:rPr>
        <w:t>202</w:t>
      </w:r>
      <w:r>
        <w:rPr>
          <w:rFonts w:hint="eastAsia" w:ascii="方正小标宋简体" w:hAnsi="仿宋_GB2312" w:eastAsia="方正小标宋简体"/>
          <w:sz w:val="44"/>
          <w:szCs w:val="44"/>
          <w:lang w:val="en-US" w:eastAsia="zh-CN"/>
        </w:rPr>
        <w:t>2</w:t>
      </w:r>
      <w:r>
        <w:rPr>
          <w:rFonts w:hint="eastAsia" w:ascii="方正小标宋简体" w:hAnsi="仿宋_GB2312" w:eastAsia="方正小标宋简体"/>
          <w:sz w:val="44"/>
          <w:szCs w:val="44"/>
          <w:lang w:eastAsia="zh-CN"/>
        </w:rPr>
        <w:t>年</w:t>
      </w:r>
      <w:r>
        <w:rPr>
          <w:rFonts w:hint="eastAsia" w:ascii="方正小标宋简体" w:hAnsi="仿宋_GB2312" w:eastAsia="方正小标宋简体"/>
          <w:sz w:val="44"/>
          <w:szCs w:val="44"/>
          <w:lang w:val="en-US" w:eastAsia="zh-CN"/>
        </w:rPr>
        <w:t>部门</w:t>
      </w:r>
      <w:r>
        <w:rPr>
          <w:rFonts w:hint="eastAsia" w:ascii="方正小标宋简体" w:hAnsi="仿宋_GB2312" w:eastAsia="方正小标宋简体"/>
          <w:sz w:val="44"/>
          <w:szCs w:val="44"/>
        </w:rPr>
        <w:t>预算</w:t>
      </w:r>
      <w:r>
        <w:rPr>
          <w:rFonts w:hint="eastAsia" w:ascii="方正小标宋简体" w:hAnsi="仿宋_GB2312" w:eastAsia="方正小标宋简体"/>
          <w:sz w:val="44"/>
          <w:szCs w:val="44"/>
          <w:lang w:eastAsia="zh-CN"/>
        </w:rPr>
        <w:t>公开</w:t>
      </w:r>
    </w:p>
    <w:p>
      <w:pPr>
        <w:pStyle w:val="6"/>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olor w:val="000000"/>
          <w:sz w:val="32"/>
          <w:szCs w:val="32"/>
        </w:rPr>
      </w:pPr>
    </w:p>
    <w:p>
      <w:pPr>
        <w:pStyle w:val="6"/>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olor w:val="000000"/>
          <w:sz w:val="32"/>
          <w:szCs w:val="32"/>
        </w:rPr>
        <w:t>目    录</w:t>
      </w:r>
    </w:p>
    <w:p>
      <w:pPr>
        <w:pStyle w:val="6"/>
        <w:keepNext w:val="0"/>
        <w:keepLines w:val="0"/>
        <w:pageBreakBefore w:val="0"/>
        <w:widowControl/>
        <w:tabs>
          <w:tab w:val="right" w:pos="8306"/>
        </w:tabs>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第一部分  </w:t>
      </w:r>
      <w:r>
        <w:rPr>
          <w:rFonts w:hint="eastAsia" w:ascii="黑体" w:hAnsi="黑体" w:eastAsia="黑体" w:cs="黑体"/>
          <w:b w:val="0"/>
          <w:bCs w:val="0"/>
          <w:color w:val="000000"/>
          <w:sz w:val="32"/>
          <w:szCs w:val="32"/>
          <w:lang w:val="en-US" w:eastAsia="zh-CN"/>
        </w:rPr>
        <w:t>部门</w:t>
      </w:r>
      <w:r>
        <w:rPr>
          <w:rFonts w:hint="eastAsia" w:ascii="黑体" w:hAnsi="黑体" w:eastAsia="黑体" w:cs="黑体"/>
          <w:b w:val="0"/>
          <w:bCs w:val="0"/>
          <w:color w:val="000000"/>
          <w:sz w:val="32"/>
          <w:szCs w:val="32"/>
        </w:rPr>
        <w:t>概况</w:t>
      </w:r>
      <w:r>
        <w:rPr>
          <w:rFonts w:hint="eastAsia" w:ascii="黑体" w:hAnsi="黑体" w:eastAsia="黑体" w:cs="黑体"/>
          <w:b w:val="0"/>
          <w:bCs w:val="0"/>
          <w:color w:val="000000"/>
          <w:sz w:val="32"/>
          <w:szCs w:val="32"/>
        </w:rPr>
        <w:tab/>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120" w:firstLineChars="35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 xml:space="preserve"> 一、部门主要职责</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firstLineChars="40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二、机构设置及人员情况</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第二部分</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 xml:space="preserve"> </w:t>
      </w:r>
      <w:r>
        <w:rPr>
          <w:rFonts w:hint="eastAsia" w:ascii="黑体" w:hAnsi="黑体" w:eastAsia="黑体" w:cs="黑体"/>
          <w:b w:val="0"/>
          <w:bCs w:val="0"/>
          <w:color w:val="000000"/>
          <w:sz w:val="32"/>
          <w:szCs w:val="32"/>
          <w:lang w:val="en-US" w:eastAsia="zh-CN"/>
        </w:rPr>
        <w:t>2022年部门预算表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一、《收支预算总表》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二、《部门收入总表》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三、《部门支出总表》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四、《财政拨款收支总表》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五、《一般公共预算支出表》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六、《一般公共预算基本支出表》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七、《</w:t>
      </w:r>
      <w:r>
        <w:rPr>
          <w:rFonts w:hint="eastAsia" w:ascii="仿宋" w:hAnsi="仿宋" w:eastAsia="仿宋" w:cs="仿宋"/>
          <w:kern w:val="2"/>
          <w:sz w:val="32"/>
          <w:szCs w:val="30"/>
          <w:lang w:eastAsia="zh-CN"/>
        </w:rPr>
        <w:t>财政拨款</w:t>
      </w:r>
      <w:r>
        <w:rPr>
          <w:rFonts w:hint="eastAsia" w:ascii="仿宋" w:hAnsi="仿宋" w:eastAsia="仿宋" w:cs="仿宋"/>
          <w:kern w:val="2"/>
          <w:sz w:val="32"/>
          <w:szCs w:val="30"/>
        </w:rPr>
        <w:t>“三公”经费支出表》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八、《政府性基金预算支出表》</w:t>
      </w:r>
    </w:p>
    <w:p>
      <w:pPr>
        <w:pStyle w:val="6"/>
        <w:keepNext w:val="0"/>
        <w:keepLines w:val="0"/>
        <w:pageBreakBefore w:val="0"/>
        <w:widowControl/>
        <w:tabs>
          <w:tab w:val="left" w:pos="6546"/>
        </w:tabs>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lang w:val="en-US" w:eastAsia="zh-CN"/>
        </w:rPr>
      </w:pPr>
      <w:r>
        <w:rPr>
          <w:rFonts w:hint="eastAsia" w:ascii="仿宋" w:hAnsi="仿宋" w:eastAsia="仿宋" w:cs="仿宋"/>
          <w:kern w:val="2"/>
          <w:sz w:val="32"/>
          <w:szCs w:val="30"/>
          <w:lang w:val="en-US" w:eastAsia="zh-CN"/>
        </w:rPr>
        <w:t>九、《国有资本经营预算支出表》</w:t>
      </w:r>
    </w:p>
    <w:p>
      <w:pPr>
        <w:pStyle w:val="6"/>
        <w:keepNext w:val="0"/>
        <w:keepLines w:val="0"/>
        <w:pageBreakBefore w:val="0"/>
        <w:widowControl/>
        <w:tabs>
          <w:tab w:val="left" w:pos="6546"/>
        </w:tabs>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lang w:val="en-US" w:eastAsia="zh-CN"/>
        </w:rPr>
      </w:pPr>
      <w:r>
        <w:rPr>
          <w:rFonts w:hint="eastAsia" w:ascii="仿宋" w:hAnsi="仿宋" w:eastAsia="仿宋" w:cs="仿宋"/>
          <w:kern w:val="2"/>
          <w:sz w:val="32"/>
          <w:szCs w:val="30"/>
          <w:lang w:val="en-US" w:eastAsia="zh-CN"/>
        </w:rPr>
        <w:t>十、《部门整体支出绩效目标表》</w:t>
      </w:r>
    </w:p>
    <w:p>
      <w:pPr>
        <w:pStyle w:val="6"/>
        <w:keepNext w:val="0"/>
        <w:keepLines w:val="0"/>
        <w:pageBreakBefore w:val="0"/>
        <w:widowControl/>
        <w:tabs>
          <w:tab w:val="left" w:pos="6546"/>
        </w:tabs>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lang w:eastAsia="zh-CN"/>
        </w:rPr>
        <w:t>十一</w:t>
      </w:r>
      <w:r>
        <w:rPr>
          <w:rFonts w:hint="eastAsia" w:ascii="仿宋" w:hAnsi="仿宋" w:eastAsia="仿宋" w:cs="仿宋"/>
          <w:kern w:val="2"/>
          <w:sz w:val="32"/>
          <w:szCs w:val="30"/>
        </w:rPr>
        <w:t>、《项目</w:t>
      </w:r>
      <w:r>
        <w:rPr>
          <w:rFonts w:hint="eastAsia" w:ascii="仿宋" w:hAnsi="仿宋" w:eastAsia="仿宋" w:cs="仿宋"/>
          <w:kern w:val="2"/>
          <w:sz w:val="32"/>
          <w:szCs w:val="30"/>
          <w:lang w:eastAsia="zh-CN"/>
        </w:rPr>
        <w:t>支出</w:t>
      </w:r>
      <w:r>
        <w:rPr>
          <w:rFonts w:hint="eastAsia" w:ascii="仿宋" w:hAnsi="仿宋" w:eastAsia="仿宋" w:cs="仿宋"/>
          <w:kern w:val="2"/>
          <w:sz w:val="32"/>
          <w:szCs w:val="30"/>
        </w:rPr>
        <w:t>绩效目标表》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第三部分</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 xml:space="preserve"> </w:t>
      </w:r>
      <w:r>
        <w:rPr>
          <w:rFonts w:hint="eastAsia" w:ascii="黑体" w:hAnsi="黑体" w:eastAsia="黑体" w:cs="黑体"/>
          <w:b w:val="0"/>
          <w:bCs w:val="0"/>
          <w:color w:val="000000"/>
          <w:sz w:val="32"/>
          <w:szCs w:val="32"/>
          <w:lang w:val="en-US" w:eastAsia="zh-CN"/>
        </w:rPr>
        <w:t>2022年部门预算情况说明</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一、</w:t>
      </w:r>
      <w:r>
        <w:rPr>
          <w:rFonts w:hint="eastAsia" w:ascii="仿宋" w:hAnsi="仿宋" w:eastAsia="仿宋" w:cs="仿宋"/>
          <w:kern w:val="2"/>
          <w:sz w:val="32"/>
          <w:szCs w:val="30"/>
          <w:lang w:eastAsia="zh-CN"/>
        </w:rPr>
        <w:t>202</w:t>
      </w:r>
      <w:r>
        <w:rPr>
          <w:rFonts w:hint="eastAsia" w:ascii="仿宋" w:hAnsi="仿宋" w:eastAsia="仿宋" w:cs="仿宋"/>
          <w:kern w:val="2"/>
          <w:sz w:val="32"/>
          <w:szCs w:val="30"/>
          <w:lang w:val="en-US" w:eastAsia="zh-CN"/>
        </w:rPr>
        <w:t>2</w:t>
      </w:r>
      <w:r>
        <w:rPr>
          <w:rFonts w:hint="eastAsia" w:ascii="仿宋" w:hAnsi="仿宋" w:eastAsia="仿宋" w:cs="仿宋"/>
          <w:kern w:val="2"/>
          <w:sz w:val="32"/>
          <w:szCs w:val="30"/>
        </w:rPr>
        <w:t>年</w:t>
      </w:r>
      <w:r>
        <w:rPr>
          <w:rFonts w:hint="eastAsia" w:ascii="仿宋" w:hAnsi="仿宋" w:eastAsia="仿宋" w:cs="仿宋"/>
          <w:kern w:val="2"/>
          <w:sz w:val="32"/>
          <w:szCs w:val="30"/>
          <w:lang w:val="en-US" w:eastAsia="zh-CN"/>
        </w:rPr>
        <w:t>部门</w:t>
      </w:r>
      <w:r>
        <w:rPr>
          <w:rFonts w:hint="eastAsia" w:ascii="仿宋" w:hAnsi="仿宋" w:eastAsia="仿宋" w:cs="仿宋"/>
          <w:kern w:val="2"/>
          <w:sz w:val="32"/>
          <w:szCs w:val="30"/>
        </w:rPr>
        <w:t>预算收支情况说明</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120" w:firstLineChars="35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 xml:space="preserve"> 二、</w:t>
      </w:r>
      <w:r>
        <w:rPr>
          <w:rFonts w:hint="eastAsia" w:ascii="仿宋" w:hAnsi="仿宋" w:eastAsia="仿宋" w:cs="仿宋"/>
          <w:kern w:val="2"/>
          <w:sz w:val="32"/>
          <w:szCs w:val="30"/>
          <w:lang w:eastAsia="zh-CN"/>
        </w:rPr>
        <w:t>202</w:t>
      </w:r>
      <w:r>
        <w:rPr>
          <w:rFonts w:hint="eastAsia" w:ascii="仿宋" w:hAnsi="仿宋" w:eastAsia="仿宋" w:cs="仿宋"/>
          <w:kern w:val="2"/>
          <w:sz w:val="32"/>
          <w:szCs w:val="30"/>
          <w:lang w:val="en-US" w:eastAsia="zh-CN"/>
        </w:rPr>
        <w:t>2</w:t>
      </w:r>
      <w:r>
        <w:rPr>
          <w:rFonts w:hint="eastAsia" w:ascii="仿宋" w:hAnsi="仿宋" w:eastAsia="仿宋" w:cs="仿宋"/>
          <w:kern w:val="2"/>
          <w:sz w:val="32"/>
          <w:szCs w:val="30"/>
        </w:rPr>
        <w:t>年“三公”经费预算情况说明</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b w:val="0"/>
          <w:bCs/>
          <w:sz w:val="32"/>
          <w:szCs w:val="30"/>
        </w:rPr>
      </w:pPr>
      <w:r>
        <w:rPr>
          <w:rFonts w:hint="eastAsia" w:ascii="黑体" w:hAnsi="黑体" w:eastAsia="黑体" w:cs="黑体"/>
          <w:b w:val="0"/>
          <w:bCs w:val="0"/>
          <w:color w:val="000000"/>
          <w:sz w:val="32"/>
          <w:szCs w:val="32"/>
        </w:rPr>
        <w:t>第四部分  名词解释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0"/>
        </w:rPr>
        <w:t xml:space="preserve">第一部分  </w:t>
      </w:r>
      <w:r>
        <w:rPr>
          <w:rFonts w:hint="eastAsia" w:ascii="黑体" w:hAnsi="黑体" w:eastAsia="黑体" w:cs="黑体"/>
          <w:b w:val="0"/>
          <w:bCs/>
          <w:sz w:val="32"/>
          <w:szCs w:val="32"/>
          <w:lang w:val="en-US" w:eastAsia="zh-CN"/>
        </w:rPr>
        <w:t>部门</w:t>
      </w:r>
      <w:r>
        <w:rPr>
          <w:rFonts w:hint="eastAsia" w:ascii="黑体" w:hAnsi="黑体" w:eastAsia="黑体" w:cs="黑体"/>
          <w:b w:val="0"/>
          <w:bCs/>
          <w:sz w:val="32"/>
          <w:szCs w:val="30"/>
        </w:rPr>
        <w:t>概况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一、主要职责</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赣州市南康区财政国库集中收付核算中心是主管全区支付业务的区财政局</w:t>
      </w:r>
      <w:r>
        <w:rPr>
          <w:rFonts w:hint="eastAsia" w:ascii="仿宋" w:hAnsi="仿宋" w:eastAsia="仿宋" w:cs="仿宋"/>
          <w:sz w:val="32"/>
          <w:szCs w:val="32"/>
          <w:lang w:eastAsia="zh-CN"/>
        </w:rPr>
        <w:t>下属事业单位</w:t>
      </w:r>
      <w:r>
        <w:rPr>
          <w:rFonts w:hint="eastAsia" w:ascii="仿宋" w:hAnsi="仿宋" w:eastAsia="仿宋" w:cs="仿宋"/>
          <w:sz w:val="32"/>
          <w:szCs w:val="32"/>
        </w:rPr>
        <w:t>，主要职责是：</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负责配合财政国库管理部门建立和完善国库单一账户体系，配合国库加强非税收入的管理和建立支出管理系统;负责监管零余额账户使用范围；负责相关单位年终结余资金的清理核实；承担财政支付机构和系统内的监督检查。</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负责相关单位年终结余资金的清理核实以及年终结余汇总工作；负责提供区本级财政支付年报、月报数据，向区财政局提供资金支付和清算信息；负责配合预算部门依照预算单位支出情况，为编制部门预算提供基础资料。</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3、负责财政国库集中支付资金动态监控管理及核查工作，编写国库集中支付监控信息报告；负责督促发卡银行和预算单位按规定办理和使用公务卡；负责配合政府采购部门执行政府采购法和审查资金到位情况。</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负责办理财政统发工资、津补贴业务及代扣款项的划转等工作；负责工资数据的复审，负责汇总工资发放数据，向统发银行传送工资发放信息，并监督统发银行履行代理协议；负责与编办、人事、代理银行等工资统一发放相关部门的业务联系和协调工作；负责提供相关工资统一发放信息；负责对预算单位的工资统发业务培训工作。</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sz w:val="32"/>
          <w:szCs w:val="30"/>
        </w:rPr>
      </w:pPr>
      <w:r>
        <w:rPr>
          <w:rFonts w:hint="eastAsia" w:ascii="黑体" w:hAnsi="黑体" w:eastAsia="黑体" w:cs="黑体"/>
          <w:b w:val="0"/>
          <w:bCs/>
          <w:sz w:val="32"/>
          <w:szCs w:val="30"/>
        </w:rPr>
        <w:t>二、机构设置及人员情况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年赣州市南康区财政国库集中收付核算中心共有预算单位1个，包括：赣州市南康区财政国库集中收付核算中心本级，内部未设置股室。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编制数36人，其中：行政编制0人、参公编制0人、全额事业编制36人、差额事业编制0人、自收自支事业编制0人；实有人数32人，其中：在职人数32人，包括行政人员0人、参公人员0人、全额事业32人、差额事业0人、自收自支事业0人；离休人员0人；退休人员</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；遗属人数</w:t>
      </w:r>
      <w:r>
        <w:rPr>
          <w:rFonts w:hint="eastAsia" w:ascii="仿宋" w:hAnsi="仿宋" w:eastAsia="仿宋" w:cs="仿宋"/>
          <w:color w:val="auto"/>
          <w:sz w:val="32"/>
          <w:szCs w:val="32"/>
          <w:lang w:val="en-US" w:eastAsia="zh-CN"/>
        </w:rPr>
        <w:t>2人</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sz w:val="32"/>
          <w:szCs w:val="30"/>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sz w:val="32"/>
          <w:szCs w:val="30"/>
          <w:lang w:val="en-US" w:eastAsia="zh-CN"/>
        </w:rPr>
      </w:pPr>
      <w:r>
        <w:rPr>
          <w:rFonts w:hint="eastAsia" w:ascii="黑体" w:hAnsi="黑体" w:eastAsia="黑体" w:cs="黑体"/>
          <w:b w:val="0"/>
          <w:bCs/>
          <w:sz w:val="32"/>
          <w:szCs w:val="30"/>
        </w:rPr>
        <w:t xml:space="preserve">第二部分  </w:t>
      </w:r>
      <w:r>
        <w:rPr>
          <w:rFonts w:hint="eastAsia" w:ascii="黑体" w:hAnsi="黑体" w:eastAsia="黑体" w:cs="黑体"/>
          <w:b w:val="0"/>
          <w:bCs/>
          <w:sz w:val="32"/>
          <w:szCs w:val="30"/>
          <w:lang w:val="en-US" w:eastAsia="zh-CN"/>
        </w:rPr>
        <w:t>2022年部门预算表</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bCs/>
          <w:sz w:val="32"/>
          <w:szCs w:val="32"/>
        </w:rPr>
      </w:pPr>
      <w:r>
        <w:rPr>
          <w:rFonts w:hint="eastAsia" w:ascii="仿宋" w:hAnsi="仿宋" w:eastAsia="仿宋"/>
          <w:bCs/>
          <w:sz w:val="32"/>
          <w:szCs w:val="32"/>
        </w:rPr>
        <w:t>（详见附表）</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 w:hAnsi="仿宋" w:eastAsia="仿宋" w:cs="仿宋"/>
          <w:b/>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sz w:val="32"/>
          <w:szCs w:val="30"/>
        </w:rPr>
      </w:pPr>
      <w:r>
        <w:rPr>
          <w:rFonts w:hint="eastAsia" w:ascii="黑体" w:hAnsi="黑体" w:eastAsia="黑体" w:cs="黑体"/>
          <w:b w:val="0"/>
          <w:bCs/>
          <w:kern w:val="0"/>
          <w:sz w:val="32"/>
          <w:szCs w:val="32"/>
        </w:rPr>
        <w:t xml:space="preserve">第三部分 </w:t>
      </w:r>
      <w:r>
        <w:rPr>
          <w:rFonts w:hint="eastAsia" w:ascii="黑体" w:hAnsi="黑体" w:eastAsia="黑体" w:cs="黑体"/>
          <w:b w:val="0"/>
          <w:bCs/>
          <w:sz w:val="32"/>
          <w:szCs w:val="30"/>
        </w:rPr>
        <w:t xml:space="preserve"> </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2</w:t>
      </w:r>
      <w:r>
        <w:rPr>
          <w:rFonts w:hint="eastAsia" w:ascii="黑体" w:hAnsi="黑体" w:eastAsia="黑体" w:cs="黑体"/>
          <w:b w:val="0"/>
          <w:bCs/>
          <w:sz w:val="32"/>
          <w:szCs w:val="30"/>
        </w:rPr>
        <w:t>年</w:t>
      </w:r>
      <w:r>
        <w:rPr>
          <w:rFonts w:hint="eastAsia" w:ascii="黑体" w:hAnsi="黑体" w:eastAsia="黑体" w:cs="黑体"/>
          <w:b w:val="0"/>
          <w:bCs/>
          <w:sz w:val="32"/>
          <w:szCs w:val="30"/>
          <w:lang w:val="en-US" w:eastAsia="zh-CN"/>
        </w:rPr>
        <w:t>部门</w:t>
      </w:r>
      <w:r>
        <w:rPr>
          <w:rFonts w:hint="eastAsia" w:ascii="黑体" w:hAnsi="黑体" w:eastAsia="黑体" w:cs="黑体"/>
          <w:b w:val="0"/>
          <w:bCs/>
          <w:sz w:val="32"/>
          <w:szCs w:val="30"/>
        </w:rPr>
        <w:t>预算情况说明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sz w:val="32"/>
          <w:szCs w:val="30"/>
        </w:rPr>
      </w:pPr>
      <w:r>
        <w:rPr>
          <w:rFonts w:hint="eastAsia" w:ascii="黑体" w:hAnsi="黑体" w:eastAsia="黑体" w:cs="黑体"/>
          <w:b w:val="0"/>
          <w:bCs/>
          <w:sz w:val="32"/>
          <w:szCs w:val="30"/>
        </w:rPr>
        <w:t>一、</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2</w:t>
      </w:r>
      <w:r>
        <w:rPr>
          <w:rFonts w:hint="eastAsia" w:ascii="黑体" w:hAnsi="黑体" w:eastAsia="黑体" w:cs="黑体"/>
          <w:b w:val="0"/>
          <w:bCs/>
          <w:sz w:val="32"/>
          <w:szCs w:val="30"/>
        </w:rPr>
        <w:t>年</w:t>
      </w:r>
      <w:r>
        <w:rPr>
          <w:rFonts w:hint="eastAsia" w:ascii="黑体" w:hAnsi="黑体" w:eastAsia="黑体" w:cs="黑体"/>
          <w:b w:val="0"/>
          <w:bCs/>
          <w:sz w:val="32"/>
          <w:szCs w:val="30"/>
          <w:lang w:val="en-US" w:eastAsia="zh-CN"/>
        </w:rPr>
        <w:t>部门</w:t>
      </w:r>
      <w:r>
        <w:rPr>
          <w:rFonts w:hint="eastAsia" w:ascii="黑体" w:hAnsi="黑体" w:eastAsia="黑体" w:cs="黑体"/>
          <w:b w:val="0"/>
          <w:bCs/>
          <w:sz w:val="32"/>
          <w:szCs w:val="30"/>
        </w:rPr>
        <w:t>预算收支情况说明</w:t>
      </w:r>
    </w:p>
    <w:p>
      <w:pPr>
        <w:keepNext w:val="0"/>
        <w:keepLines w:val="0"/>
        <w:pageBreakBefore w:val="0"/>
        <w:kinsoku/>
        <w:wordWrap/>
        <w:overflowPunct/>
        <w:topLinePunct w:val="0"/>
        <w:autoSpaceDE/>
        <w:autoSpaceDN/>
        <w:bidi w:val="0"/>
        <w:spacing w:line="560" w:lineRule="exact"/>
        <w:textAlignment w:val="auto"/>
        <w:rPr>
          <w:rStyle w:val="7"/>
          <w:rFonts w:hint="eastAsia" w:ascii="楷体" w:hAnsi="楷体" w:eastAsia="楷体" w:cs="楷体"/>
          <w:b/>
          <w:bCs w:val="0"/>
          <w:sz w:val="32"/>
          <w:szCs w:val="32"/>
        </w:rPr>
      </w:pPr>
      <w:r>
        <w:rPr>
          <w:rStyle w:val="7"/>
          <w:rFonts w:hint="eastAsia" w:ascii="楷体" w:hAnsi="楷体" w:eastAsia="楷体" w:cs="楷体"/>
          <w:b/>
          <w:bCs w:val="0"/>
          <w:sz w:val="32"/>
          <w:szCs w:val="32"/>
        </w:rPr>
        <w:t xml:space="preserve"> </w:t>
      </w:r>
      <w:r>
        <w:rPr>
          <w:rStyle w:val="7"/>
          <w:rFonts w:hint="eastAsia" w:ascii="楷体" w:hAnsi="楷体" w:eastAsia="楷体" w:cs="楷体"/>
          <w:b/>
          <w:bCs w:val="0"/>
          <w:sz w:val="32"/>
          <w:szCs w:val="32"/>
          <w:lang w:val="en-US" w:eastAsia="zh-CN"/>
        </w:rPr>
        <w:t xml:space="preserve">  </w:t>
      </w:r>
      <w:r>
        <w:rPr>
          <w:rStyle w:val="7"/>
          <w:rFonts w:hint="eastAsia" w:ascii="楷体" w:hAnsi="楷体" w:eastAsia="楷体" w:cs="楷体"/>
          <w:b/>
          <w:sz w:val="32"/>
          <w:szCs w:val="32"/>
        </w:rPr>
        <w:t>（</w:t>
      </w:r>
      <w:r>
        <w:rPr>
          <w:rStyle w:val="7"/>
          <w:rFonts w:hint="eastAsia" w:ascii="楷体" w:hAnsi="楷体" w:eastAsia="楷体" w:cs="楷体"/>
          <w:b/>
          <w:sz w:val="32"/>
          <w:szCs w:val="32"/>
          <w:lang w:eastAsia="zh-CN"/>
        </w:rPr>
        <w:t>一</w:t>
      </w:r>
      <w:r>
        <w:rPr>
          <w:rStyle w:val="7"/>
          <w:rFonts w:hint="eastAsia" w:ascii="楷体" w:hAnsi="楷体" w:eastAsia="楷体" w:cs="楷体"/>
          <w:b/>
          <w:sz w:val="32"/>
          <w:szCs w:val="32"/>
        </w:rPr>
        <w:t>）</w:t>
      </w:r>
      <w:r>
        <w:rPr>
          <w:rStyle w:val="7"/>
          <w:rFonts w:hint="eastAsia" w:ascii="楷体" w:hAnsi="楷体" w:eastAsia="楷体" w:cs="楷体"/>
          <w:b/>
          <w:bCs w:val="0"/>
          <w:sz w:val="32"/>
          <w:szCs w:val="32"/>
        </w:rPr>
        <w:t>收入预算情况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2022年赣州市南康区财政国库集中收付核算中心收入预算总额为530.78万元，较上年预算安排减少15.61万元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其中：财政拨款收入508.57万元，占收入预算总额的95.82%，较上年预算安排增加10.8万元，增加了2.16%,主要原因是</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在职人员工资增加。事业收入0万元，占收入预算总额的0%，较上年预算安排增加（减少)0万元，增长（下降）0%；事业单位经营收入0万元，占收入预算总额的0%，较上年预算安排增加（减少)0万元，增长（下降）0%；其他收入22.22万元，占收入预算总额的4.19%，较上年预算安排增加22.22万元，增长100%</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预计本年度大学生就业见习补贴增加</w:t>
      </w:r>
      <w:r>
        <w:rPr>
          <w:rFonts w:hint="eastAsia" w:ascii="仿宋" w:hAnsi="仿宋" w:eastAsia="仿宋" w:cs="仿宋"/>
          <w:kern w:val="0"/>
          <w:sz w:val="32"/>
          <w:szCs w:val="32"/>
        </w:rPr>
        <w:t>。国库集中支付网上结转</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万元,较上年预算安排</w:t>
      </w:r>
      <w:r>
        <w:rPr>
          <w:rFonts w:hint="eastAsia" w:ascii="仿宋" w:hAnsi="仿宋" w:eastAsia="仿宋" w:cs="仿宋"/>
          <w:kern w:val="0"/>
          <w:sz w:val="32"/>
          <w:szCs w:val="32"/>
          <w:lang w:eastAsia="zh-CN"/>
        </w:rPr>
        <w:t>减少</w:t>
      </w:r>
      <w:r>
        <w:rPr>
          <w:rFonts w:hint="eastAsia" w:ascii="仿宋" w:hAnsi="仿宋" w:eastAsia="仿宋" w:cs="仿宋"/>
          <w:kern w:val="0"/>
          <w:sz w:val="32"/>
          <w:szCs w:val="32"/>
          <w:lang w:val="en-US" w:eastAsia="zh-CN"/>
        </w:rPr>
        <w:t>48.63</w:t>
      </w:r>
      <w:r>
        <w:rPr>
          <w:rFonts w:hint="eastAsia" w:ascii="仿宋" w:hAnsi="仿宋" w:eastAsia="仿宋" w:cs="仿宋"/>
          <w:kern w:val="0"/>
          <w:sz w:val="32"/>
          <w:szCs w:val="32"/>
        </w:rPr>
        <w:t>万元。</w:t>
      </w:r>
    </w:p>
    <w:p>
      <w:pPr>
        <w:keepNext w:val="0"/>
        <w:keepLines w:val="0"/>
        <w:pageBreakBefore w:val="0"/>
        <w:kinsoku/>
        <w:wordWrap/>
        <w:overflowPunct/>
        <w:topLinePunct w:val="0"/>
        <w:autoSpaceDE/>
        <w:autoSpaceDN/>
        <w:bidi w:val="0"/>
        <w:spacing w:line="560" w:lineRule="exact"/>
        <w:ind w:firstLine="321" w:firstLineChars="100"/>
        <w:textAlignment w:val="auto"/>
        <w:rPr>
          <w:rStyle w:val="7"/>
          <w:rFonts w:hint="eastAsia" w:ascii="楷体" w:hAnsi="楷体" w:eastAsia="楷体" w:cs="楷体"/>
          <w:b/>
          <w:sz w:val="32"/>
          <w:szCs w:val="32"/>
        </w:rPr>
      </w:pPr>
      <w:r>
        <w:rPr>
          <w:rStyle w:val="7"/>
          <w:rFonts w:hint="eastAsia" w:ascii="楷体" w:hAnsi="楷体" w:eastAsia="楷体" w:cs="楷体"/>
          <w:b/>
          <w:sz w:val="32"/>
          <w:szCs w:val="32"/>
        </w:rPr>
        <w:t xml:space="preserve"> （</w:t>
      </w:r>
      <w:r>
        <w:rPr>
          <w:rStyle w:val="7"/>
          <w:rFonts w:hint="eastAsia" w:ascii="楷体" w:hAnsi="楷体" w:eastAsia="楷体" w:cs="楷体"/>
          <w:b/>
          <w:sz w:val="32"/>
          <w:szCs w:val="32"/>
          <w:lang w:eastAsia="zh-CN"/>
        </w:rPr>
        <w:t>二</w:t>
      </w:r>
      <w:r>
        <w:rPr>
          <w:rStyle w:val="7"/>
          <w:rFonts w:hint="eastAsia" w:ascii="楷体" w:hAnsi="楷体" w:eastAsia="楷体" w:cs="楷体"/>
          <w:b/>
          <w:sz w:val="32"/>
          <w:szCs w:val="32"/>
        </w:rPr>
        <w:t>）支出预算情况</w:t>
      </w:r>
    </w:p>
    <w:p>
      <w:pPr>
        <w:adjustRightInd w:val="0"/>
        <w:snapToGrid w:val="0"/>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2022年赣州市南康区财政国库集中收付核算中心支出预算总额为530.78万元，较上年预算安排减少15.61万元，下降2.86%，其中：</w:t>
      </w:r>
    </w:p>
    <w:p>
      <w:pPr>
        <w:adjustRightInd w:val="0"/>
        <w:snapToGrid w:val="0"/>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按支出项目类别划分：基本支出342.57万元，占支出预算总额的64.54%，较上年预算安排减少</w:t>
      </w:r>
      <w:r>
        <w:rPr>
          <w:rFonts w:hint="eastAsia" w:ascii="仿宋_GB2312" w:hAnsi="仿宋_GB2312" w:eastAsia="仿宋_GB2312"/>
          <w:sz w:val="32"/>
          <w:szCs w:val="32"/>
          <w:lang w:val="en-US" w:eastAsia="zh-CN"/>
        </w:rPr>
        <w:t>203.82</w:t>
      </w:r>
      <w:r>
        <w:rPr>
          <w:rFonts w:hint="eastAsia" w:ascii="仿宋_GB2312" w:hAnsi="仿宋_GB2312" w:eastAsia="仿宋_GB2312"/>
          <w:sz w:val="32"/>
          <w:szCs w:val="32"/>
        </w:rPr>
        <w:t>万元，下降</w:t>
      </w:r>
      <w:r>
        <w:rPr>
          <w:rFonts w:hint="eastAsia" w:ascii="仿宋_GB2312" w:hAnsi="仿宋_GB2312" w:eastAsia="仿宋_GB2312"/>
          <w:sz w:val="32"/>
          <w:szCs w:val="32"/>
          <w:lang w:val="en-US" w:eastAsia="zh-CN"/>
        </w:rPr>
        <w:t>37.30</w:t>
      </w:r>
      <w:r>
        <w:rPr>
          <w:rFonts w:hint="eastAsia" w:ascii="仿宋_GB2312" w:hAnsi="仿宋_GB2312" w:eastAsia="仿宋_GB2312"/>
          <w:sz w:val="32"/>
          <w:szCs w:val="32"/>
        </w:rPr>
        <w:t>%，包括工资福利支出309.79万元、商品和服务支出32.42万元、对个人和家庭的补助支出0.36万元；项目支出188.22万元，占支出预算总额的35.46%，较上年预算安排增加188.22万元，增长</w:t>
      </w:r>
      <w:r>
        <w:rPr>
          <w:rFonts w:hint="eastAsia" w:ascii="仿宋_GB2312" w:hAnsi="仿宋_GB2312" w:eastAsia="仿宋_GB2312"/>
          <w:sz w:val="32"/>
          <w:szCs w:val="32"/>
          <w:lang w:val="en-US" w:eastAsia="zh-CN"/>
        </w:rPr>
        <w:t>100</w:t>
      </w:r>
      <w:r>
        <w:rPr>
          <w:rFonts w:hint="eastAsia" w:ascii="仿宋_GB2312" w:hAnsi="仿宋_GB2312" w:eastAsia="仿宋_GB2312"/>
          <w:sz w:val="32"/>
          <w:szCs w:val="32"/>
        </w:rPr>
        <w:t>%，</w:t>
      </w:r>
      <w:r>
        <w:rPr>
          <w:rFonts w:hint="eastAsia" w:ascii="仿宋_GB2312" w:hAnsi="仿宋_GB2312" w:eastAsia="仿宋_GB2312"/>
          <w:sz w:val="32"/>
          <w:szCs w:val="32"/>
          <w:highlight w:val="none"/>
        </w:rPr>
        <w:t>其中：工资福利支出</w:t>
      </w:r>
      <w:r>
        <w:rPr>
          <w:rFonts w:hint="eastAsia" w:ascii="仿宋_GB2312" w:hAnsi="仿宋_GB2312" w:eastAsia="仿宋_GB2312"/>
          <w:sz w:val="32"/>
          <w:szCs w:val="32"/>
          <w:highlight w:val="none"/>
          <w:lang w:val="en-US" w:eastAsia="zh-CN"/>
        </w:rPr>
        <w:t>67.22</w:t>
      </w:r>
      <w:r>
        <w:rPr>
          <w:rFonts w:hint="eastAsia" w:ascii="仿宋_GB2312" w:hAnsi="仿宋_GB2312" w:eastAsia="仿宋_GB2312"/>
          <w:sz w:val="32"/>
          <w:szCs w:val="32"/>
          <w:highlight w:val="none"/>
        </w:rPr>
        <w:t>万元,商品和服务支出</w:t>
      </w:r>
      <w:r>
        <w:rPr>
          <w:rFonts w:hint="eastAsia" w:ascii="仿宋_GB2312" w:hAnsi="仿宋_GB2312" w:eastAsia="仿宋_GB2312"/>
          <w:sz w:val="32"/>
          <w:szCs w:val="32"/>
          <w:highlight w:val="none"/>
          <w:lang w:val="en-US" w:eastAsia="zh-CN"/>
        </w:rPr>
        <w:t>98</w:t>
      </w:r>
      <w:r>
        <w:rPr>
          <w:rFonts w:hint="eastAsia" w:ascii="仿宋_GB2312" w:hAnsi="仿宋_GB2312" w:eastAsia="仿宋_GB2312"/>
          <w:sz w:val="32"/>
          <w:szCs w:val="32"/>
          <w:highlight w:val="none"/>
        </w:rPr>
        <w:t>万元,对个人和家庭的补助</w:t>
      </w:r>
      <w:r>
        <w:rPr>
          <w:rFonts w:hint="eastAsia" w:ascii="仿宋_GB2312" w:hAnsi="仿宋_GB2312" w:eastAsia="仿宋_GB2312"/>
          <w:sz w:val="32"/>
          <w:szCs w:val="32"/>
          <w:highlight w:val="none"/>
          <w:lang w:val="en-US" w:eastAsia="zh-CN"/>
        </w:rPr>
        <w:t>3</w:t>
      </w:r>
      <w:r>
        <w:rPr>
          <w:rFonts w:hint="eastAsia" w:ascii="仿宋_GB2312" w:hAnsi="仿宋_GB2312" w:eastAsia="仿宋_GB2312"/>
          <w:sz w:val="32"/>
          <w:szCs w:val="32"/>
          <w:highlight w:val="none"/>
        </w:rPr>
        <w:t>万元,资本性支出</w:t>
      </w:r>
      <w:r>
        <w:rPr>
          <w:rFonts w:hint="eastAsia" w:ascii="仿宋_GB2312" w:hAnsi="仿宋_GB2312" w:eastAsia="仿宋_GB2312"/>
          <w:sz w:val="32"/>
          <w:szCs w:val="32"/>
          <w:highlight w:val="none"/>
          <w:lang w:val="en-US" w:eastAsia="zh-CN"/>
        </w:rPr>
        <w:t>20</w:t>
      </w:r>
      <w:r>
        <w:rPr>
          <w:rFonts w:hint="eastAsia" w:ascii="仿宋_GB2312" w:hAnsi="仿宋_GB2312" w:eastAsia="仿宋_GB2312"/>
          <w:sz w:val="32"/>
          <w:szCs w:val="32"/>
          <w:highlight w:val="none"/>
        </w:rPr>
        <w:t>万元。</w:t>
      </w:r>
    </w:p>
    <w:p>
      <w:pPr>
        <w:adjustRightInd w:val="0"/>
        <w:snapToGrid w:val="0"/>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按支出功能科目划分：一般公共服务支出476.27万元，占支出预算总额的89.73%，较上年预算安排</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rPr>
        <w:t>了</w:t>
      </w:r>
      <w:r>
        <w:rPr>
          <w:rFonts w:hint="eastAsia" w:ascii="仿宋_GB2312" w:hAnsi="仿宋_GB2312" w:eastAsia="仿宋_GB2312"/>
          <w:sz w:val="32"/>
          <w:szCs w:val="32"/>
          <w:lang w:val="en-US" w:eastAsia="zh-CN"/>
        </w:rPr>
        <w:t>15.28</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rPr>
        <w:t>了</w:t>
      </w:r>
      <w:r>
        <w:rPr>
          <w:rFonts w:hint="eastAsia" w:ascii="仿宋_GB2312" w:hAnsi="仿宋_GB2312" w:eastAsia="仿宋_GB2312"/>
          <w:sz w:val="32"/>
          <w:szCs w:val="32"/>
          <w:lang w:val="en-US" w:eastAsia="zh-CN"/>
        </w:rPr>
        <w:t>3.11</w:t>
      </w:r>
      <w:r>
        <w:rPr>
          <w:rFonts w:hint="eastAsia" w:ascii="仿宋_GB2312" w:hAnsi="仿宋_GB2312" w:eastAsia="仿宋_GB2312"/>
          <w:sz w:val="32"/>
          <w:szCs w:val="32"/>
        </w:rPr>
        <w:t>%；社会保障和就业38.28万元，占支出预算总额的7.21%，较上年预算安排减少1.08万元，下降2.74%；</w:t>
      </w:r>
      <w:r>
        <w:rPr>
          <w:rFonts w:hint="eastAsia" w:ascii="仿宋_GB2312" w:hAnsi="仿宋_GB2312" w:eastAsia="仿宋_GB2312"/>
          <w:sz w:val="32"/>
          <w:szCs w:val="32"/>
          <w:lang w:eastAsia="zh-CN"/>
        </w:rPr>
        <w:t>卫生健康</w:t>
      </w:r>
      <w:r>
        <w:rPr>
          <w:rFonts w:hint="eastAsia" w:ascii="仿宋_GB2312" w:hAnsi="仿宋_GB2312" w:eastAsia="仿宋_GB2312"/>
          <w:sz w:val="32"/>
          <w:szCs w:val="32"/>
        </w:rPr>
        <w:t>支出16.24万元，占支出预算总额的3.06%，较上年预算安排增加0.76万元，增长4.9%。</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按支出经济分类划分：工资福利支出</w:t>
      </w:r>
      <w:r>
        <w:rPr>
          <w:rFonts w:hint="eastAsia" w:ascii="仿宋_GB2312" w:hAnsi="仿宋_GB2312" w:eastAsia="仿宋_GB2312"/>
          <w:sz w:val="32"/>
          <w:szCs w:val="32"/>
          <w:highlight w:val="none"/>
          <w:lang w:val="en-US" w:eastAsia="zh-CN"/>
        </w:rPr>
        <w:t>377.00</w:t>
      </w:r>
      <w:r>
        <w:rPr>
          <w:rFonts w:hint="eastAsia" w:ascii="仿宋_GB2312" w:hAnsi="仿宋_GB2312" w:eastAsia="仿宋_GB2312"/>
          <w:sz w:val="32"/>
          <w:szCs w:val="32"/>
          <w:highlight w:val="none"/>
        </w:rPr>
        <w:t>万元,较上年预算安排</w:t>
      </w:r>
      <w:r>
        <w:rPr>
          <w:rFonts w:hint="eastAsia" w:ascii="仿宋_GB2312" w:hAnsi="仿宋_GB2312" w:eastAsia="仿宋_GB2312"/>
          <w:sz w:val="32"/>
          <w:szCs w:val="32"/>
          <w:highlight w:val="none"/>
          <w:lang w:eastAsia="zh-CN"/>
        </w:rPr>
        <w:t>减少</w:t>
      </w:r>
      <w:r>
        <w:rPr>
          <w:rFonts w:hint="eastAsia" w:ascii="仿宋_GB2312" w:hAnsi="仿宋_GB2312" w:eastAsia="仿宋_GB2312"/>
          <w:sz w:val="32"/>
          <w:szCs w:val="32"/>
          <w:highlight w:val="none"/>
          <w:lang w:val="en-US" w:eastAsia="zh-CN"/>
        </w:rPr>
        <w:t>108.23</w:t>
      </w:r>
      <w:r>
        <w:rPr>
          <w:rFonts w:hint="eastAsia" w:ascii="仿宋_GB2312" w:hAnsi="仿宋_GB2312" w:eastAsia="仿宋_GB2312"/>
          <w:sz w:val="32"/>
          <w:szCs w:val="32"/>
          <w:highlight w:val="none"/>
        </w:rPr>
        <w:t>万元;商品和服务支出</w:t>
      </w:r>
      <w:r>
        <w:rPr>
          <w:rFonts w:hint="eastAsia" w:ascii="仿宋_GB2312" w:hAnsi="仿宋_GB2312" w:eastAsia="仿宋_GB2312"/>
          <w:sz w:val="32"/>
          <w:szCs w:val="32"/>
          <w:highlight w:val="none"/>
          <w:lang w:val="en-US" w:eastAsia="zh-CN"/>
        </w:rPr>
        <w:t>130.42</w:t>
      </w:r>
      <w:r>
        <w:rPr>
          <w:rFonts w:hint="eastAsia" w:ascii="仿宋_GB2312" w:hAnsi="仿宋_GB2312" w:eastAsia="仿宋_GB2312"/>
          <w:sz w:val="32"/>
          <w:szCs w:val="32"/>
          <w:highlight w:val="none"/>
        </w:rPr>
        <w:t>万元,较上年预算安排增加</w:t>
      </w:r>
      <w:r>
        <w:rPr>
          <w:rFonts w:hint="eastAsia" w:ascii="仿宋_GB2312" w:hAnsi="仿宋_GB2312" w:eastAsia="仿宋_GB2312"/>
          <w:sz w:val="32"/>
          <w:szCs w:val="32"/>
          <w:highlight w:val="none"/>
          <w:lang w:val="en-US" w:eastAsia="zh-CN"/>
        </w:rPr>
        <w:t>73.62</w:t>
      </w:r>
      <w:r>
        <w:rPr>
          <w:rFonts w:hint="eastAsia" w:ascii="仿宋_GB2312" w:hAnsi="仿宋_GB2312" w:eastAsia="仿宋_GB2312"/>
          <w:sz w:val="32"/>
          <w:szCs w:val="32"/>
          <w:highlight w:val="none"/>
        </w:rPr>
        <w:t>万元;对个人和家庭的补助</w:t>
      </w:r>
      <w:r>
        <w:rPr>
          <w:rFonts w:hint="eastAsia" w:ascii="仿宋_GB2312" w:hAnsi="仿宋_GB2312" w:eastAsia="仿宋_GB2312"/>
          <w:sz w:val="32"/>
          <w:szCs w:val="32"/>
          <w:highlight w:val="none"/>
          <w:lang w:val="en-US" w:eastAsia="zh-CN"/>
        </w:rPr>
        <w:t>3</w:t>
      </w:r>
      <w:r>
        <w:rPr>
          <w:rFonts w:hint="eastAsia" w:ascii="仿宋_GB2312" w:hAnsi="仿宋_GB2312" w:eastAsia="仿宋_GB2312"/>
          <w:sz w:val="32"/>
          <w:szCs w:val="32"/>
          <w:highlight w:val="none"/>
        </w:rPr>
        <w:t>.36万元,较上年预算安排</w:t>
      </w:r>
      <w:r>
        <w:rPr>
          <w:rFonts w:hint="eastAsia" w:ascii="仿宋_GB2312" w:hAnsi="仿宋_GB2312" w:eastAsia="仿宋_GB2312"/>
          <w:sz w:val="32"/>
          <w:szCs w:val="32"/>
          <w:highlight w:val="none"/>
          <w:lang w:eastAsia="zh-CN"/>
        </w:rPr>
        <w:t>增加</w:t>
      </w:r>
      <w:r>
        <w:rPr>
          <w:rFonts w:hint="eastAsia" w:ascii="仿宋_GB2312" w:hAnsi="仿宋_GB2312" w:eastAsia="仿宋_GB2312"/>
          <w:sz w:val="32"/>
          <w:szCs w:val="32"/>
          <w:highlight w:val="none"/>
          <w:lang w:val="en-US" w:eastAsia="zh-CN"/>
        </w:rPr>
        <w:t>3</w:t>
      </w:r>
      <w:r>
        <w:rPr>
          <w:rFonts w:hint="eastAsia" w:ascii="仿宋_GB2312" w:hAnsi="仿宋_GB2312" w:eastAsia="仿宋_GB2312"/>
          <w:sz w:val="32"/>
          <w:szCs w:val="32"/>
          <w:highlight w:val="none"/>
        </w:rPr>
        <w:t>万元;资本性支出</w:t>
      </w:r>
      <w:r>
        <w:rPr>
          <w:rFonts w:hint="eastAsia" w:ascii="仿宋_GB2312" w:hAnsi="仿宋_GB2312" w:eastAsia="仿宋_GB2312"/>
          <w:sz w:val="32"/>
          <w:szCs w:val="32"/>
          <w:highlight w:val="none"/>
          <w:lang w:val="en-US" w:eastAsia="zh-CN"/>
        </w:rPr>
        <w:t>20</w:t>
      </w:r>
      <w:r>
        <w:rPr>
          <w:rFonts w:hint="eastAsia" w:ascii="仿宋_GB2312" w:hAnsi="仿宋_GB2312" w:eastAsia="仿宋_GB2312"/>
          <w:sz w:val="32"/>
          <w:szCs w:val="32"/>
          <w:highlight w:val="none"/>
        </w:rPr>
        <w:t>万元,较上年预算安排</w:t>
      </w:r>
      <w:r>
        <w:rPr>
          <w:rFonts w:hint="eastAsia" w:ascii="仿宋_GB2312" w:hAnsi="仿宋_GB2312" w:eastAsia="仿宋_GB2312"/>
          <w:sz w:val="32"/>
          <w:szCs w:val="32"/>
          <w:highlight w:val="none"/>
          <w:lang w:eastAsia="zh-CN"/>
        </w:rPr>
        <w:t>增加</w:t>
      </w:r>
      <w:r>
        <w:rPr>
          <w:rFonts w:hint="eastAsia" w:ascii="仿宋_GB2312" w:hAnsi="仿宋_GB2312" w:eastAsia="仿宋_GB2312"/>
          <w:sz w:val="32"/>
          <w:szCs w:val="32"/>
          <w:highlight w:val="none"/>
          <w:lang w:val="en-US" w:eastAsia="zh-CN"/>
        </w:rPr>
        <w:t>16</w:t>
      </w:r>
      <w:r>
        <w:rPr>
          <w:rFonts w:hint="eastAsia" w:ascii="仿宋_GB2312" w:hAnsi="仿宋_GB2312" w:eastAsia="仿宋_GB2312"/>
          <w:sz w:val="32"/>
          <w:szCs w:val="32"/>
          <w:highlight w:val="none"/>
        </w:rPr>
        <w:t>万元;对企业补助0万元,较上年预算安排增加（减少）0万元。</w:t>
      </w:r>
    </w:p>
    <w:p>
      <w:pPr>
        <w:keepNext w:val="0"/>
        <w:keepLines w:val="0"/>
        <w:pageBreakBefore w:val="0"/>
        <w:kinsoku/>
        <w:wordWrap/>
        <w:overflowPunct/>
        <w:topLinePunct w:val="0"/>
        <w:autoSpaceDE/>
        <w:autoSpaceDN/>
        <w:bidi w:val="0"/>
        <w:spacing w:line="560" w:lineRule="exact"/>
        <w:ind w:firstLine="643" w:firstLineChars="200"/>
        <w:textAlignment w:val="auto"/>
        <w:rPr>
          <w:rStyle w:val="7"/>
          <w:rFonts w:hint="eastAsia" w:ascii="楷体" w:hAnsi="楷体" w:eastAsia="楷体" w:cs="楷体"/>
          <w:b/>
          <w:sz w:val="32"/>
          <w:szCs w:val="32"/>
        </w:rPr>
      </w:pPr>
      <w:r>
        <w:rPr>
          <w:rStyle w:val="7"/>
          <w:rFonts w:hint="eastAsia" w:ascii="楷体" w:hAnsi="楷体" w:eastAsia="楷体" w:cs="楷体"/>
          <w:b/>
          <w:sz w:val="32"/>
          <w:szCs w:val="32"/>
        </w:rPr>
        <w:t>（</w:t>
      </w:r>
      <w:r>
        <w:rPr>
          <w:rStyle w:val="7"/>
          <w:rFonts w:hint="eastAsia" w:ascii="楷体" w:hAnsi="楷体" w:eastAsia="楷体" w:cs="楷体"/>
          <w:b/>
          <w:sz w:val="32"/>
          <w:szCs w:val="32"/>
          <w:lang w:eastAsia="zh-CN"/>
        </w:rPr>
        <w:t>三</w:t>
      </w:r>
      <w:r>
        <w:rPr>
          <w:rStyle w:val="7"/>
          <w:rFonts w:hint="eastAsia" w:ascii="楷体" w:hAnsi="楷体" w:eastAsia="楷体" w:cs="楷体"/>
          <w:b/>
          <w:sz w:val="32"/>
          <w:szCs w:val="32"/>
        </w:rPr>
        <w:t>）财政拨款支出情况</w:t>
      </w:r>
    </w:p>
    <w:p>
      <w:pPr>
        <w:adjustRightInd w:val="0"/>
        <w:snapToGrid w:val="0"/>
        <w:spacing w:line="600" w:lineRule="exact"/>
        <w:ind w:firstLine="640" w:firstLineChars="200"/>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202</w:t>
      </w: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rPr>
        <w:t>年赣州市南康区财政国库集中收付核算中心财政拨款支出预算总额为</w:t>
      </w:r>
      <w:r>
        <w:rPr>
          <w:rFonts w:hint="eastAsia" w:ascii="仿宋_GB2312" w:hAnsi="仿宋_GB2312" w:eastAsia="仿宋_GB2312"/>
          <w:sz w:val="32"/>
          <w:szCs w:val="32"/>
          <w:highlight w:val="none"/>
          <w:lang w:val="en-US" w:eastAsia="zh-CN"/>
        </w:rPr>
        <w:t>508.57</w:t>
      </w:r>
      <w:r>
        <w:rPr>
          <w:rFonts w:hint="eastAsia" w:ascii="仿宋_GB2312" w:hAnsi="仿宋_GB2312" w:eastAsia="仿宋_GB2312"/>
          <w:sz w:val="32"/>
          <w:szCs w:val="32"/>
          <w:highlight w:val="none"/>
        </w:rPr>
        <w:t>万元,占支出预算总额的95.82%，较上年预算安排增加</w:t>
      </w:r>
      <w:r>
        <w:rPr>
          <w:rFonts w:hint="eastAsia" w:ascii="仿宋_GB2312" w:hAnsi="仿宋_GB2312" w:eastAsia="仿宋_GB2312"/>
          <w:sz w:val="32"/>
          <w:szCs w:val="32"/>
          <w:highlight w:val="none"/>
          <w:lang w:val="en-US" w:eastAsia="zh-CN"/>
        </w:rPr>
        <w:t>10.8</w:t>
      </w:r>
      <w:r>
        <w:rPr>
          <w:rFonts w:hint="eastAsia" w:ascii="仿宋_GB2312" w:hAnsi="仿宋_GB2312" w:eastAsia="仿宋_GB2312"/>
          <w:sz w:val="32"/>
          <w:szCs w:val="32"/>
          <w:highlight w:val="none"/>
        </w:rPr>
        <w:t>万元;</w:t>
      </w:r>
    </w:p>
    <w:p>
      <w:pPr>
        <w:adjustRightInd w:val="0"/>
        <w:snapToGrid w:val="0"/>
        <w:spacing w:line="600" w:lineRule="exact"/>
        <w:ind w:firstLine="640" w:firstLineChars="200"/>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按支出功能科目划分：一般公共服务支出</w:t>
      </w:r>
      <w:r>
        <w:rPr>
          <w:rFonts w:hint="eastAsia" w:ascii="仿宋_GB2312" w:hAnsi="仿宋_GB2312" w:eastAsia="仿宋_GB2312"/>
          <w:sz w:val="32"/>
          <w:szCs w:val="32"/>
          <w:highlight w:val="none"/>
          <w:lang w:val="en-US" w:eastAsia="zh-CN"/>
        </w:rPr>
        <w:t>454.05</w:t>
      </w:r>
      <w:r>
        <w:rPr>
          <w:rFonts w:hint="eastAsia" w:ascii="仿宋_GB2312" w:hAnsi="仿宋_GB2312" w:eastAsia="仿宋_GB2312"/>
          <w:sz w:val="32"/>
          <w:szCs w:val="32"/>
          <w:highlight w:val="none"/>
        </w:rPr>
        <w:t>万元,教育支出0万元,社会保障和就业支出</w:t>
      </w:r>
      <w:r>
        <w:rPr>
          <w:rFonts w:hint="eastAsia" w:ascii="仿宋_GB2312" w:hAnsi="仿宋_GB2312" w:eastAsia="仿宋_GB2312"/>
          <w:sz w:val="32"/>
          <w:szCs w:val="32"/>
          <w:highlight w:val="none"/>
          <w:lang w:val="en-US" w:eastAsia="zh-CN"/>
        </w:rPr>
        <w:t>38.28</w:t>
      </w:r>
      <w:r>
        <w:rPr>
          <w:rFonts w:hint="eastAsia" w:ascii="仿宋_GB2312" w:hAnsi="仿宋_GB2312" w:eastAsia="仿宋_GB2312"/>
          <w:sz w:val="32"/>
          <w:szCs w:val="32"/>
          <w:highlight w:val="none"/>
        </w:rPr>
        <w:t>万元,卫生健康支出</w:t>
      </w:r>
      <w:r>
        <w:rPr>
          <w:rFonts w:hint="eastAsia" w:ascii="仿宋_GB2312" w:hAnsi="仿宋_GB2312" w:eastAsia="仿宋_GB2312"/>
          <w:sz w:val="32"/>
          <w:szCs w:val="32"/>
          <w:highlight w:val="none"/>
          <w:lang w:val="en-US" w:eastAsia="zh-CN"/>
        </w:rPr>
        <w:t>16.24</w:t>
      </w:r>
      <w:r>
        <w:rPr>
          <w:rFonts w:hint="eastAsia" w:ascii="仿宋_GB2312" w:hAnsi="仿宋_GB2312" w:eastAsia="仿宋_GB2312"/>
          <w:sz w:val="32"/>
          <w:szCs w:val="32"/>
          <w:highlight w:val="none"/>
        </w:rPr>
        <w:t>万元,住房保障支出0万元。</w:t>
      </w:r>
    </w:p>
    <w:p>
      <w:pPr>
        <w:adjustRightInd w:val="0"/>
        <w:snapToGrid w:val="0"/>
        <w:spacing w:line="600" w:lineRule="exact"/>
        <w:ind w:firstLine="640" w:firstLineChars="200"/>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按支出项目类别划分：基本支出</w:t>
      </w:r>
      <w:r>
        <w:rPr>
          <w:rFonts w:hint="eastAsia" w:ascii="仿宋_GB2312" w:hAnsi="仿宋_GB2312" w:eastAsia="仿宋_GB2312"/>
          <w:sz w:val="32"/>
          <w:szCs w:val="32"/>
          <w:highlight w:val="none"/>
          <w:lang w:val="en-US" w:eastAsia="zh-CN"/>
        </w:rPr>
        <w:t>342.57</w:t>
      </w:r>
      <w:r>
        <w:rPr>
          <w:rFonts w:hint="eastAsia" w:ascii="仿宋_GB2312" w:hAnsi="仿宋_GB2312" w:eastAsia="仿宋_GB2312"/>
          <w:sz w:val="32"/>
          <w:szCs w:val="32"/>
          <w:highlight w:val="none"/>
        </w:rPr>
        <w:t>万元,较上年预算安排</w:t>
      </w:r>
      <w:r>
        <w:rPr>
          <w:rFonts w:hint="eastAsia" w:ascii="仿宋_GB2312" w:hAnsi="仿宋_GB2312" w:eastAsia="仿宋_GB2312"/>
          <w:sz w:val="32"/>
          <w:szCs w:val="32"/>
          <w:highlight w:val="none"/>
          <w:lang w:eastAsia="zh-CN"/>
        </w:rPr>
        <w:t>减少</w:t>
      </w:r>
      <w:r>
        <w:rPr>
          <w:rFonts w:hint="eastAsia" w:ascii="仿宋_GB2312" w:hAnsi="仿宋_GB2312" w:eastAsia="仿宋_GB2312"/>
          <w:sz w:val="32"/>
          <w:szCs w:val="32"/>
          <w:highlight w:val="none"/>
          <w:lang w:val="en-US" w:eastAsia="zh-CN"/>
        </w:rPr>
        <w:t>155.2</w:t>
      </w:r>
      <w:r>
        <w:rPr>
          <w:rFonts w:hint="eastAsia" w:ascii="仿宋_GB2312" w:hAnsi="仿宋_GB2312" w:eastAsia="仿宋_GB2312"/>
          <w:sz w:val="32"/>
          <w:szCs w:val="32"/>
          <w:highlight w:val="none"/>
        </w:rPr>
        <w:t>万元;其中：工资福利支出</w:t>
      </w:r>
      <w:r>
        <w:rPr>
          <w:rFonts w:hint="eastAsia" w:ascii="仿宋_GB2312" w:hAnsi="仿宋_GB2312" w:eastAsia="仿宋_GB2312"/>
          <w:sz w:val="32"/>
          <w:szCs w:val="32"/>
          <w:highlight w:val="none"/>
          <w:lang w:val="en-US" w:eastAsia="zh-CN"/>
        </w:rPr>
        <w:t>309.79</w:t>
      </w:r>
      <w:r>
        <w:rPr>
          <w:rFonts w:hint="eastAsia" w:ascii="仿宋_GB2312" w:hAnsi="仿宋_GB2312" w:eastAsia="仿宋_GB2312"/>
          <w:sz w:val="32"/>
          <w:szCs w:val="32"/>
          <w:highlight w:val="none"/>
        </w:rPr>
        <w:t>万元,商品和服务支出</w:t>
      </w:r>
      <w:r>
        <w:rPr>
          <w:rFonts w:hint="eastAsia" w:ascii="仿宋_GB2312" w:hAnsi="仿宋_GB2312" w:eastAsia="仿宋_GB2312"/>
          <w:sz w:val="32"/>
          <w:szCs w:val="32"/>
          <w:highlight w:val="none"/>
          <w:lang w:val="en-US" w:eastAsia="zh-CN"/>
        </w:rPr>
        <w:t>32.42</w:t>
      </w:r>
      <w:r>
        <w:rPr>
          <w:rFonts w:hint="eastAsia" w:ascii="仿宋_GB2312" w:hAnsi="仿宋_GB2312" w:eastAsia="仿宋_GB2312"/>
          <w:sz w:val="32"/>
          <w:szCs w:val="32"/>
          <w:highlight w:val="none"/>
        </w:rPr>
        <w:t>万元,对个人和家庭的补助0.36万元,资本性支出</w:t>
      </w:r>
      <w:r>
        <w:rPr>
          <w:rFonts w:hint="eastAsia" w:ascii="仿宋_GB2312" w:hAnsi="仿宋_GB2312" w:eastAsia="仿宋_GB2312"/>
          <w:sz w:val="32"/>
          <w:szCs w:val="32"/>
          <w:highlight w:val="none"/>
          <w:lang w:val="en-US" w:eastAsia="zh-CN"/>
        </w:rPr>
        <w:t>0</w:t>
      </w:r>
      <w:r>
        <w:rPr>
          <w:rFonts w:hint="eastAsia" w:ascii="仿宋_GB2312" w:hAnsi="仿宋_GB2312" w:eastAsia="仿宋_GB2312"/>
          <w:sz w:val="32"/>
          <w:szCs w:val="32"/>
          <w:highlight w:val="none"/>
        </w:rPr>
        <w:t>万元。项目支出</w:t>
      </w:r>
      <w:r>
        <w:rPr>
          <w:rFonts w:hint="eastAsia" w:ascii="仿宋_GB2312" w:hAnsi="仿宋_GB2312" w:eastAsia="仿宋_GB2312"/>
          <w:sz w:val="32"/>
          <w:szCs w:val="32"/>
          <w:highlight w:val="none"/>
          <w:lang w:val="en-US" w:eastAsia="zh-CN"/>
        </w:rPr>
        <w:t>166</w:t>
      </w:r>
      <w:r>
        <w:rPr>
          <w:rFonts w:hint="eastAsia" w:ascii="仿宋_GB2312" w:hAnsi="仿宋_GB2312" w:eastAsia="仿宋_GB2312"/>
          <w:sz w:val="32"/>
          <w:szCs w:val="32"/>
          <w:highlight w:val="none"/>
        </w:rPr>
        <w:t>万元,较上年预算安排增加</w:t>
      </w:r>
      <w:r>
        <w:rPr>
          <w:rFonts w:hint="eastAsia" w:ascii="仿宋_GB2312" w:hAnsi="仿宋_GB2312" w:eastAsia="仿宋_GB2312"/>
          <w:sz w:val="32"/>
          <w:szCs w:val="32"/>
          <w:highlight w:val="none"/>
          <w:lang w:val="en-US" w:eastAsia="zh-CN"/>
        </w:rPr>
        <w:t>166</w:t>
      </w:r>
      <w:r>
        <w:rPr>
          <w:rFonts w:hint="eastAsia" w:ascii="仿宋_GB2312" w:hAnsi="仿宋_GB2312" w:eastAsia="仿宋_GB2312"/>
          <w:sz w:val="32"/>
          <w:szCs w:val="32"/>
          <w:highlight w:val="none"/>
        </w:rPr>
        <w:t>万元</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其中：</w:t>
      </w:r>
      <w:r>
        <w:rPr>
          <w:rFonts w:hint="eastAsia" w:ascii="仿宋_GB2312" w:hAnsi="仿宋_GB2312" w:eastAsia="仿宋_GB2312"/>
          <w:sz w:val="32"/>
          <w:szCs w:val="32"/>
          <w:highlight w:val="none"/>
          <w:lang w:eastAsia="zh-CN"/>
        </w:rPr>
        <w:t>工资福利支出</w:t>
      </w:r>
      <w:r>
        <w:rPr>
          <w:rFonts w:hint="eastAsia" w:ascii="仿宋_GB2312" w:hAnsi="仿宋_GB2312" w:eastAsia="仿宋_GB2312"/>
          <w:sz w:val="32"/>
          <w:szCs w:val="32"/>
          <w:highlight w:val="none"/>
          <w:lang w:val="en-US" w:eastAsia="zh-CN"/>
        </w:rPr>
        <w:t>45万元，</w:t>
      </w:r>
      <w:r>
        <w:rPr>
          <w:rFonts w:hint="eastAsia" w:ascii="仿宋_GB2312" w:hAnsi="仿宋_GB2312" w:eastAsia="仿宋_GB2312"/>
          <w:sz w:val="32"/>
          <w:szCs w:val="32"/>
          <w:highlight w:val="none"/>
        </w:rPr>
        <w:t>商品和服务支出</w:t>
      </w:r>
      <w:r>
        <w:rPr>
          <w:rFonts w:hint="eastAsia" w:ascii="仿宋_GB2312" w:hAnsi="仿宋_GB2312" w:eastAsia="仿宋_GB2312"/>
          <w:sz w:val="32"/>
          <w:szCs w:val="32"/>
          <w:highlight w:val="none"/>
          <w:lang w:val="en-US" w:eastAsia="zh-CN"/>
        </w:rPr>
        <w:t>98</w:t>
      </w:r>
      <w:r>
        <w:rPr>
          <w:rFonts w:hint="eastAsia" w:ascii="仿宋_GB2312" w:hAnsi="仿宋_GB2312" w:eastAsia="仿宋_GB2312"/>
          <w:sz w:val="32"/>
          <w:szCs w:val="32"/>
          <w:highlight w:val="none"/>
        </w:rPr>
        <w:t>万元,对个人和家庭的补助</w:t>
      </w:r>
      <w:r>
        <w:rPr>
          <w:rFonts w:hint="eastAsia" w:ascii="仿宋_GB2312" w:hAnsi="仿宋_GB2312" w:eastAsia="仿宋_GB2312"/>
          <w:sz w:val="32"/>
          <w:szCs w:val="32"/>
          <w:highlight w:val="none"/>
          <w:lang w:val="en-US" w:eastAsia="zh-CN"/>
        </w:rPr>
        <w:t>3</w:t>
      </w:r>
      <w:r>
        <w:rPr>
          <w:rFonts w:hint="eastAsia" w:ascii="仿宋_GB2312" w:hAnsi="仿宋_GB2312" w:eastAsia="仿宋_GB2312"/>
          <w:sz w:val="32"/>
          <w:szCs w:val="32"/>
          <w:highlight w:val="none"/>
        </w:rPr>
        <w:t>万元,资本性支出</w:t>
      </w:r>
      <w:r>
        <w:rPr>
          <w:rFonts w:hint="eastAsia" w:ascii="仿宋_GB2312" w:hAnsi="仿宋_GB2312" w:eastAsia="仿宋_GB2312"/>
          <w:sz w:val="32"/>
          <w:szCs w:val="32"/>
          <w:highlight w:val="none"/>
          <w:lang w:val="en-US" w:eastAsia="zh-CN"/>
        </w:rPr>
        <w:t>20</w:t>
      </w:r>
      <w:r>
        <w:rPr>
          <w:rFonts w:hint="eastAsia" w:ascii="仿宋_GB2312" w:hAnsi="仿宋_GB2312" w:eastAsia="仿宋_GB2312"/>
          <w:sz w:val="32"/>
          <w:szCs w:val="32"/>
          <w:highlight w:val="none"/>
        </w:rPr>
        <w:t>万元。</w:t>
      </w:r>
    </w:p>
    <w:p>
      <w:pPr>
        <w:keepNext w:val="0"/>
        <w:keepLines w:val="0"/>
        <w:pageBreakBefore w:val="0"/>
        <w:kinsoku/>
        <w:wordWrap/>
        <w:overflowPunct/>
        <w:topLinePunct w:val="0"/>
        <w:autoSpaceDE/>
        <w:autoSpaceDN/>
        <w:bidi w:val="0"/>
        <w:spacing w:line="560" w:lineRule="exact"/>
        <w:ind w:firstLine="643" w:firstLineChars="200"/>
        <w:textAlignment w:val="auto"/>
        <w:rPr>
          <w:rStyle w:val="7"/>
          <w:rFonts w:hint="eastAsia" w:ascii="楷体" w:hAnsi="楷体" w:eastAsia="楷体" w:cs="楷体"/>
          <w:b/>
          <w:bCs w:val="0"/>
          <w:sz w:val="32"/>
          <w:szCs w:val="32"/>
        </w:rPr>
      </w:pPr>
      <w:r>
        <w:rPr>
          <w:rStyle w:val="7"/>
          <w:rFonts w:hint="eastAsia" w:ascii="楷体" w:hAnsi="楷体" w:eastAsia="楷体" w:cs="楷体"/>
          <w:b/>
          <w:sz w:val="32"/>
          <w:szCs w:val="32"/>
        </w:rPr>
        <w:t>（</w:t>
      </w:r>
      <w:r>
        <w:rPr>
          <w:rStyle w:val="7"/>
          <w:rFonts w:hint="eastAsia" w:ascii="楷体" w:hAnsi="楷体" w:eastAsia="楷体" w:cs="楷体"/>
          <w:b/>
          <w:sz w:val="32"/>
          <w:szCs w:val="32"/>
          <w:lang w:eastAsia="zh-CN"/>
        </w:rPr>
        <w:t>四</w:t>
      </w:r>
      <w:r>
        <w:rPr>
          <w:rStyle w:val="7"/>
          <w:rFonts w:hint="eastAsia" w:ascii="楷体" w:hAnsi="楷体" w:eastAsia="楷体" w:cs="楷体"/>
          <w:b/>
          <w:sz w:val="32"/>
          <w:szCs w:val="32"/>
        </w:rPr>
        <w:t>）</w:t>
      </w:r>
      <w:r>
        <w:rPr>
          <w:rStyle w:val="7"/>
          <w:rFonts w:hint="eastAsia" w:ascii="楷体" w:hAnsi="楷体" w:eastAsia="楷体" w:cs="楷体"/>
          <w:b/>
          <w:bCs w:val="0"/>
          <w:sz w:val="32"/>
          <w:szCs w:val="32"/>
        </w:rPr>
        <w:t>政府性基金情况</w:t>
      </w:r>
    </w:p>
    <w:p>
      <w:pPr>
        <w:keepNext w:val="0"/>
        <w:keepLines w:val="0"/>
        <w:pageBreakBefore w:val="0"/>
        <w:kinsoku/>
        <w:wordWrap/>
        <w:overflowPunct/>
        <w:topLinePunct w:val="0"/>
        <w:autoSpaceDE/>
        <w:autoSpaceDN/>
        <w:bidi w:val="0"/>
        <w:spacing w:line="560" w:lineRule="exact"/>
        <w:ind w:firstLine="640" w:firstLineChars="200"/>
        <w:textAlignment w:val="auto"/>
        <w:rPr>
          <w:rStyle w:val="7"/>
          <w:rFonts w:hint="eastAsia" w:ascii="仿宋" w:hAnsi="仿宋" w:eastAsia="仿宋" w:cs="仿宋"/>
          <w:sz w:val="32"/>
          <w:szCs w:val="32"/>
        </w:rPr>
      </w:pPr>
      <w:r>
        <w:rPr>
          <w:rStyle w:val="7"/>
          <w:rFonts w:hint="eastAsia" w:ascii="仿宋" w:hAnsi="仿宋" w:eastAsia="仿宋" w:cs="仿宋"/>
          <w:sz w:val="32"/>
          <w:szCs w:val="32"/>
        </w:rPr>
        <w:t>2022年赣州市南康区财政国库集中收付核算中心无政府性基金。</w:t>
      </w:r>
    </w:p>
    <w:p>
      <w:pPr>
        <w:keepNext w:val="0"/>
        <w:keepLines w:val="0"/>
        <w:pageBreakBefore w:val="0"/>
        <w:kinsoku/>
        <w:wordWrap/>
        <w:overflowPunct/>
        <w:topLinePunct w:val="0"/>
        <w:autoSpaceDE/>
        <w:autoSpaceDN/>
        <w:bidi w:val="0"/>
        <w:spacing w:line="560" w:lineRule="exact"/>
        <w:ind w:firstLine="643" w:firstLineChars="200"/>
        <w:textAlignment w:val="auto"/>
        <w:rPr>
          <w:rStyle w:val="7"/>
          <w:rFonts w:hint="eastAsia" w:ascii="楷体" w:hAnsi="楷体" w:eastAsia="楷体" w:cs="楷体"/>
          <w:b/>
          <w:sz w:val="32"/>
          <w:szCs w:val="32"/>
        </w:rPr>
      </w:pPr>
      <w:r>
        <w:rPr>
          <w:rStyle w:val="7"/>
          <w:rFonts w:hint="eastAsia" w:ascii="楷体" w:hAnsi="楷体" w:eastAsia="楷体" w:cs="楷体"/>
          <w:b/>
          <w:sz w:val="32"/>
          <w:szCs w:val="32"/>
        </w:rPr>
        <w:t>（五）国有资本经营情况</w:t>
      </w:r>
    </w:p>
    <w:p>
      <w:pPr>
        <w:keepNext w:val="0"/>
        <w:keepLines w:val="0"/>
        <w:pageBreakBefore w:val="0"/>
        <w:kinsoku/>
        <w:wordWrap/>
        <w:overflowPunct/>
        <w:topLinePunct w:val="0"/>
        <w:autoSpaceDE/>
        <w:autoSpaceDN/>
        <w:bidi w:val="0"/>
        <w:spacing w:line="560" w:lineRule="exact"/>
        <w:ind w:firstLine="640" w:firstLineChars="200"/>
        <w:textAlignment w:val="auto"/>
        <w:rPr>
          <w:rStyle w:val="7"/>
          <w:rFonts w:hint="eastAsia" w:ascii="仿宋" w:hAnsi="仿宋" w:eastAsia="仿宋" w:cs="仿宋"/>
          <w:sz w:val="32"/>
          <w:szCs w:val="32"/>
          <w:lang w:val="en-US" w:eastAsia="zh-CN"/>
        </w:rPr>
      </w:pPr>
      <w:r>
        <w:rPr>
          <w:rStyle w:val="7"/>
          <w:rFonts w:hint="eastAsia" w:ascii="仿宋" w:hAnsi="仿宋" w:eastAsia="仿宋" w:cs="仿宋"/>
          <w:sz w:val="32"/>
          <w:szCs w:val="32"/>
        </w:rPr>
        <w:t>2022年赣州市南康区财政国库集中收付核算中心没有使用国有资本经营预算拨款安排的支出</w:t>
      </w:r>
      <w:r>
        <w:rPr>
          <w:rStyle w:val="7"/>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textAlignment w:val="auto"/>
        <w:rPr>
          <w:rStyle w:val="7"/>
          <w:rFonts w:hint="eastAsia" w:ascii="楷体" w:hAnsi="楷体" w:eastAsia="楷体" w:cs="楷体"/>
          <w:b/>
          <w:sz w:val="32"/>
          <w:szCs w:val="32"/>
        </w:rPr>
      </w:pP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rPr>
        <w:t>六</w:t>
      </w: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rPr>
        <w:t>机关运行经费等重要事项的说明</w:t>
      </w:r>
    </w:p>
    <w:p>
      <w:pPr>
        <w:keepNext w:val="0"/>
        <w:keepLines w:val="0"/>
        <w:pageBreakBefore w:val="0"/>
        <w:widowControl/>
        <w:kinsoku/>
        <w:wordWrap/>
        <w:overflowPunct/>
        <w:topLinePunct w:val="0"/>
        <w:autoSpaceDE/>
        <w:autoSpaceDN/>
        <w:bidi w:val="0"/>
        <w:spacing w:line="560" w:lineRule="exact"/>
        <w:ind w:firstLine="636"/>
        <w:jc w:val="left"/>
        <w:textAlignment w:val="auto"/>
        <w:rPr>
          <w:rStyle w:val="7"/>
          <w:rFonts w:hint="eastAsia" w:ascii="Adobe 仿宋 Std R" w:hAnsi="Adobe 仿宋 Std R" w:eastAsia="Adobe 仿宋 Std R"/>
          <w:sz w:val="32"/>
          <w:szCs w:val="32"/>
          <w:lang w:eastAsia="zh-CN"/>
        </w:rPr>
      </w:pPr>
      <w:r>
        <w:rPr>
          <w:rStyle w:val="7"/>
          <w:rFonts w:hint="eastAsia" w:ascii="Adobe 仿宋 Std R" w:hAnsi="Adobe 仿宋 Std R" w:eastAsia="Adobe 仿宋 Std R"/>
          <w:sz w:val="32"/>
          <w:szCs w:val="32"/>
          <w:lang w:eastAsia="zh-CN"/>
        </w:rPr>
        <w:t>2022年赣州市南康区财政国库集中收付核算中心本级及0个所属预算单位</w:t>
      </w:r>
      <w:r>
        <w:rPr>
          <w:rStyle w:val="7"/>
          <w:rFonts w:hint="eastAsia" w:ascii="Adobe 仿宋 Std R" w:hAnsi="Adobe 仿宋 Std R" w:eastAsia="Adobe 仿宋 Std R"/>
          <w:sz w:val="32"/>
          <w:szCs w:val="32"/>
          <w:highlight w:val="none"/>
          <w:lang w:eastAsia="zh-CN"/>
        </w:rPr>
        <w:t>机关运行费预算</w:t>
      </w:r>
      <w:r>
        <w:rPr>
          <w:rStyle w:val="7"/>
          <w:rFonts w:hint="eastAsia" w:ascii="Adobe 仿宋 Std R" w:hAnsi="Adobe 仿宋 Std R" w:eastAsia="Adobe 仿宋 Std R"/>
          <w:sz w:val="32"/>
          <w:szCs w:val="32"/>
          <w:highlight w:val="none"/>
          <w:lang w:val="en-US" w:eastAsia="zh-CN"/>
        </w:rPr>
        <w:t>32.42</w:t>
      </w:r>
      <w:r>
        <w:rPr>
          <w:rStyle w:val="7"/>
          <w:rFonts w:hint="eastAsia" w:ascii="Adobe 仿宋 Std R" w:hAnsi="Adobe 仿宋 Std R" w:eastAsia="Adobe 仿宋 Std R"/>
          <w:sz w:val="32"/>
          <w:szCs w:val="32"/>
          <w:highlight w:val="none"/>
          <w:lang w:eastAsia="zh-CN"/>
        </w:rPr>
        <w:t>万元，比2021年预算减少</w:t>
      </w:r>
      <w:r>
        <w:rPr>
          <w:rStyle w:val="7"/>
          <w:rFonts w:hint="eastAsia" w:ascii="Adobe 仿宋 Std R" w:hAnsi="Adobe 仿宋 Std R" w:eastAsia="Adobe 仿宋 Std R"/>
          <w:sz w:val="32"/>
          <w:szCs w:val="32"/>
          <w:highlight w:val="none"/>
          <w:lang w:val="en-US" w:eastAsia="zh-CN"/>
        </w:rPr>
        <w:t>28.38</w:t>
      </w:r>
      <w:r>
        <w:rPr>
          <w:rStyle w:val="7"/>
          <w:rFonts w:hint="eastAsia" w:ascii="Adobe 仿宋 Std R" w:hAnsi="Adobe 仿宋 Std R" w:eastAsia="Adobe 仿宋 Std R"/>
          <w:sz w:val="32"/>
          <w:szCs w:val="32"/>
          <w:highlight w:val="none"/>
          <w:lang w:eastAsia="zh-CN"/>
        </w:rPr>
        <w:t>万元，减少</w:t>
      </w:r>
      <w:r>
        <w:rPr>
          <w:rStyle w:val="7"/>
          <w:rFonts w:hint="eastAsia" w:ascii="Adobe 仿宋 Std R" w:hAnsi="Adobe 仿宋 Std R" w:eastAsia="Adobe 仿宋 Std R"/>
          <w:sz w:val="32"/>
          <w:szCs w:val="32"/>
          <w:highlight w:val="none"/>
          <w:lang w:val="en-US" w:eastAsia="zh-CN"/>
        </w:rPr>
        <w:t>46.67%</w:t>
      </w:r>
      <w:r>
        <w:rPr>
          <w:rStyle w:val="7"/>
          <w:rFonts w:hint="eastAsia" w:ascii="Adobe 仿宋 Std R" w:hAnsi="Adobe 仿宋 Std R" w:eastAsia="Adobe 仿宋 Std R"/>
          <w:sz w:val="32"/>
          <w:szCs w:val="32"/>
          <w:highlight w:val="none"/>
          <w:lang w:eastAsia="zh-CN"/>
        </w:rPr>
        <w:t>。</w:t>
      </w:r>
    </w:p>
    <w:p>
      <w:pPr>
        <w:keepNext w:val="0"/>
        <w:keepLines w:val="0"/>
        <w:pageBreakBefore w:val="0"/>
        <w:widowControl/>
        <w:kinsoku/>
        <w:wordWrap/>
        <w:overflowPunct/>
        <w:topLinePunct w:val="0"/>
        <w:autoSpaceDE/>
        <w:autoSpaceDN/>
        <w:bidi w:val="0"/>
        <w:spacing w:line="560" w:lineRule="exact"/>
        <w:ind w:firstLine="636"/>
        <w:jc w:val="left"/>
        <w:textAlignment w:val="auto"/>
        <w:rPr>
          <w:rFonts w:hint="eastAsia" w:ascii="仿宋" w:hAnsi="仿宋" w:eastAsia="仿宋" w:cs="仿宋"/>
          <w:sz w:val="32"/>
          <w:szCs w:val="32"/>
        </w:rPr>
      </w:pPr>
      <w:r>
        <w:rPr>
          <w:rFonts w:hint="eastAsia" w:ascii="仿宋" w:hAnsi="仿宋" w:eastAsia="仿宋" w:cs="仿宋"/>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spacing w:line="560" w:lineRule="exact"/>
        <w:ind w:firstLine="643" w:firstLineChars="200"/>
        <w:textAlignment w:val="auto"/>
        <w:rPr>
          <w:rStyle w:val="7"/>
          <w:rFonts w:hint="eastAsia" w:ascii="楷体" w:hAnsi="楷体" w:eastAsia="楷体" w:cs="楷体"/>
          <w:b/>
          <w:sz w:val="32"/>
          <w:szCs w:val="32"/>
        </w:rPr>
      </w:pP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rPr>
        <w:t>七</w:t>
      </w: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rPr>
        <w:t>政府采购情况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年部门所属各单位政府采购总额</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万元,其中: 政府采购货物预算</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万元, 其中办公设备购置</w:t>
      </w:r>
      <w:r>
        <w:rPr>
          <w:rFonts w:hint="eastAsia" w:ascii="仿宋" w:hAnsi="仿宋" w:eastAsia="仿宋" w:cs="仿宋"/>
          <w:sz w:val="32"/>
          <w:szCs w:val="32"/>
          <w:lang w:val="en-US" w:eastAsia="zh-CN"/>
        </w:rPr>
        <w:t>20万元。</w:t>
      </w:r>
      <w:r>
        <w:rPr>
          <w:rFonts w:hint="eastAsia" w:ascii="仿宋" w:hAnsi="仿宋" w:eastAsia="仿宋" w:cs="仿宋"/>
          <w:sz w:val="32"/>
          <w:szCs w:val="32"/>
          <w:lang w:eastAsia="zh-CN"/>
        </w:rPr>
        <w:t>政府采购工程预算0万元, 政府采购服务预算0万元。</w:t>
      </w:r>
    </w:p>
    <w:p>
      <w:pPr>
        <w:keepNext w:val="0"/>
        <w:keepLines w:val="0"/>
        <w:pageBreakBefore w:val="0"/>
        <w:kinsoku/>
        <w:wordWrap/>
        <w:overflowPunct/>
        <w:topLinePunct w:val="0"/>
        <w:autoSpaceDE/>
        <w:autoSpaceDN/>
        <w:bidi w:val="0"/>
        <w:spacing w:line="560" w:lineRule="exact"/>
        <w:ind w:firstLine="643" w:firstLineChars="200"/>
        <w:textAlignment w:val="auto"/>
        <w:rPr>
          <w:rStyle w:val="7"/>
          <w:rFonts w:hint="eastAsia" w:ascii="楷体" w:hAnsi="楷体" w:eastAsia="楷体" w:cs="楷体"/>
          <w:b/>
          <w:sz w:val="32"/>
          <w:szCs w:val="32"/>
        </w:rPr>
      </w:pP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rPr>
        <w:t>八</w:t>
      </w: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rPr>
        <w:t>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color w:val="auto"/>
          <w:sz w:val="32"/>
          <w:szCs w:val="32"/>
        </w:rPr>
        <w:t>截至202</w:t>
      </w:r>
      <w:r>
        <w:rPr>
          <w:rFonts w:hint="eastAsia" w:ascii="Adobe 仿宋 Std R" w:hAnsi="Adobe 仿宋 Std R" w:eastAsia="Adobe 仿宋 Std R"/>
          <w:color w:val="auto"/>
          <w:sz w:val="32"/>
          <w:szCs w:val="32"/>
          <w:lang w:val="en-US" w:eastAsia="zh-CN"/>
        </w:rPr>
        <w:t>1年底</w:t>
      </w:r>
      <w:r>
        <w:rPr>
          <w:rFonts w:hint="eastAsia" w:ascii="Adobe 仿宋 Std R" w:hAnsi="Adobe 仿宋 Std R" w:eastAsia="Adobe 仿宋 Std R"/>
          <w:color w:val="auto"/>
          <w:sz w:val="32"/>
          <w:szCs w:val="32"/>
        </w:rPr>
        <w:t>,</w:t>
      </w:r>
      <w:r>
        <w:rPr>
          <w:rFonts w:ascii="Adobe 仿宋 Std R" w:hAnsi="Adobe 仿宋 Std R" w:eastAsia="Adobe 仿宋 Std R"/>
          <w:color w:val="auto"/>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仿宋" w:hAnsi="仿宋" w:eastAsia="仿宋" w:cs="Times New Roman"/>
          <w:kern w:val="0"/>
          <w:sz w:val="32"/>
          <w:szCs w:val="32"/>
          <w:lang w:val="en-US" w:eastAsia="zh-CN"/>
        </w:rPr>
        <w:t>0</w:t>
      </w:r>
      <w:r>
        <w:rPr>
          <w:rFonts w:ascii="Adobe 仿宋 Std R" w:hAnsi="Adobe 仿宋 Std R" w:eastAsia="Adobe 仿宋 Std R"/>
          <w:sz w:val="32"/>
          <w:szCs w:val="32"/>
        </w:rPr>
        <w:t>辆,其中：一般公务用车实有数</w:t>
      </w:r>
      <w:r>
        <w:rPr>
          <w:rFonts w:hint="eastAsia" w:ascii="仿宋" w:hAnsi="仿宋" w:eastAsia="仿宋" w:cs="Times New Roman"/>
          <w:kern w:val="0"/>
          <w:sz w:val="32"/>
          <w:szCs w:val="32"/>
          <w:lang w:val="en-US" w:eastAsia="zh-CN"/>
        </w:rPr>
        <w:t>0</w:t>
      </w:r>
      <w:r>
        <w:rPr>
          <w:rFonts w:ascii="Adobe 仿宋 Std R" w:hAnsi="Adobe 仿宋 Std R" w:eastAsia="Adobe 仿宋 Std R"/>
          <w:sz w:val="32"/>
          <w:szCs w:val="32"/>
        </w:rPr>
        <w:t>辆,执法执勤用车实有数</w:t>
      </w:r>
      <w:r>
        <w:rPr>
          <w:rFonts w:hint="eastAsia" w:ascii="仿宋" w:hAnsi="仿宋" w:eastAsia="仿宋" w:cs="Times New Roman"/>
          <w:kern w:val="0"/>
          <w:sz w:val="32"/>
          <w:szCs w:val="32"/>
          <w:lang w:val="en-US" w:eastAsia="zh-CN"/>
        </w:rPr>
        <w:t>0</w:t>
      </w:r>
      <w:r>
        <w:rPr>
          <w:rFonts w:ascii="Adobe 仿宋 Std R" w:hAnsi="Adobe 仿宋 Std R" w:eastAsia="Adobe 仿宋 Std R"/>
          <w:sz w:val="32"/>
          <w:szCs w:val="32"/>
        </w:rPr>
        <w:t>辆。</w:t>
      </w:r>
      <w: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0"/>
        </w:rPr>
      </w:pPr>
      <w:r>
        <w:rPr>
          <w:rFonts w:hint="eastAsia" w:ascii="Adobe 仿宋 Std R" w:hAnsi="Adobe 仿宋 Std R" w:eastAsia="Adobe 仿宋 Std R"/>
          <w:sz w:val="32"/>
          <w:szCs w:val="32"/>
          <w:lang w:eastAsia="zh-CN"/>
        </w:rPr>
        <w:t>202</w:t>
      </w:r>
      <w:r>
        <w:rPr>
          <w:rFonts w:hint="eastAsia" w:ascii="Adobe 仿宋 Std R" w:hAnsi="Adobe 仿宋 Std R" w:eastAsia="Adobe 仿宋 Std R"/>
          <w:sz w:val="32"/>
          <w:szCs w:val="32"/>
          <w:lang w:val="en-US" w:eastAsia="zh-CN"/>
        </w:rPr>
        <w:t>2</w:t>
      </w:r>
      <w:r>
        <w:rPr>
          <w:rFonts w:hint="eastAsia" w:ascii="Adobe 仿宋 Std R" w:hAnsi="Adobe 仿宋 Std R" w:eastAsia="Adobe 仿宋 Std R"/>
          <w:sz w:val="32"/>
          <w:szCs w:val="32"/>
        </w:rPr>
        <w:t>年部门预算安排购置车辆</w:t>
      </w:r>
      <w:r>
        <w:rPr>
          <w:rFonts w:hint="eastAsia" w:ascii="仿宋_GB2312" w:eastAsia="仿宋_GB2312"/>
          <w:sz w:val="32"/>
          <w:szCs w:val="30"/>
          <w:u w:val="none"/>
          <w:lang w:val="en-US" w:eastAsia="zh-CN"/>
        </w:rPr>
        <w:t>0</w:t>
      </w:r>
      <w:r>
        <w:rPr>
          <w:rFonts w:hint="eastAsia" w:ascii="Adobe 仿宋 Std R" w:hAnsi="Adobe 仿宋 Std R" w:eastAsia="Adobe 仿宋 Std R"/>
          <w:sz w:val="32"/>
          <w:szCs w:val="32"/>
        </w:rPr>
        <w:t>辆，安排购置单位价值200万元以上大型设备具体为：</w:t>
      </w:r>
      <w:r>
        <w:rPr>
          <w:rFonts w:hint="eastAsia" w:ascii="Adobe 仿宋 Std R" w:hAnsi="Adobe 仿宋 Std R" w:eastAsia="Adobe 仿宋 Std R"/>
          <w:sz w:val="32"/>
          <w:szCs w:val="32"/>
          <w:lang w:eastAsia="zh-CN"/>
        </w:rPr>
        <w:t>无</w:t>
      </w:r>
      <w:r>
        <w:rPr>
          <w:rFonts w:hint="eastAsia" w:ascii="仿宋_GB2312" w:eastAsia="仿宋_GB2312"/>
          <w:sz w:val="32"/>
          <w:szCs w:val="30"/>
        </w:rPr>
        <w:t>。</w:t>
      </w:r>
    </w:p>
    <w:p>
      <w:pPr>
        <w:keepNext w:val="0"/>
        <w:keepLines w:val="0"/>
        <w:pageBreakBefore w:val="0"/>
        <w:kinsoku/>
        <w:wordWrap/>
        <w:overflowPunct/>
        <w:topLinePunct w:val="0"/>
        <w:autoSpaceDE/>
        <w:autoSpaceDN/>
        <w:bidi w:val="0"/>
        <w:spacing w:line="560" w:lineRule="exact"/>
        <w:ind w:firstLine="643" w:firstLineChars="200"/>
        <w:textAlignment w:val="auto"/>
        <w:rPr>
          <w:rStyle w:val="7"/>
          <w:rFonts w:hint="default" w:ascii="楷体" w:hAnsi="楷体" w:eastAsia="楷体" w:cs="楷体"/>
          <w:b/>
          <w:sz w:val="32"/>
          <w:szCs w:val="32"/>
          <w:lang w:val="en-US" w:eastAsia="zh-CN"/>
        </w:rPr>
      </w:pP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lang w:val="en-US" w:eastAsia="zh-CN"/>
        </w:rPr>
        <w:t>九</w:t>
      </w: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lang w:val="en-US" w:eastAsia="zh-CN"/>
        </w:rPr>
        <w:t>预算绩效管理情况说明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color w:val="auto"/>
          <w:sz w:val="32"/>
          <w:szCs w:val="32"/>
          <w:lang w:val="en-US" w:eastAsia="zh-CN"/>
        </w:rPr>
        <w:t>2022年赣州市南康区财政国库集中收付核算中心对项目支出全面实施绩效目标管理，2023年部门整体支出预算金额530.78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根据以前年度绩效评价结果，</w:t>
      </w:r>
      <w:r>
        <w:rPr>
          <w:rFonts w:hint="eastAsia" w:ascii="仿宋" w:hAnsi="仿宋" w:eastAsia="仿宋" w:cs="仿宋"/>
          <w:sz w:val="32"/>
          <w:szCs w:val="32"/>
          <w:u w:val="none"/>
          <w:lang w:val="en-US" w:eastAsia="zh-CN"/>
        </w:rPr>
        <w:t>优化2022年预算安排，并进一步改善管理、完善政策。</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none"/>
          <w:lang w:val="en-US" w:eastAsia="zh-CN"/>
        </w:rPr>
        <w:t>2022年</w:t>
      </w:r>
      <w:r>
        <w:rPr>
          <w:rFonts w:hint="eastAsia" w:ascii="仿宋" w:hAnsi="仿宋" w:eastAsia="仿宋" w:cs="仿宋"/>
          <w:color w:val="auto"/>
          <w:sz w:val="32"/>
          <w:szCs w:val="32"/>
          <w:lang w:val="en-US" w:eastAsia="zh-CN"/>
        </w:rPr>
        <w:t>赣州市南康区财政国库集中收付核算中心预算安排项目</w:t>
      </w:r>
      <w:r>
        <w:rPr>
          <w:rFonts w:hint="eastAsia" w:ascii="仿宋" w:hAnsi="仿宋" w:eastAsia="仿宋" w:cs="仿宋"/>
          <w:kern w:val="0"/>
          <w:sz w:val="32"/>
          <w:szCs w:val="32"/>
          <w:lang w:val="en-US" w:eastAsia="zh-CN"/>
        </w:rPr>
        <w:t>3个，项目预算金额合计166</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textAlignment w:val="auto"/>
        <w:rPr>
          <w:rStyle w:val="7"/>
          <w:rFonts w:hint="eastAsia" w:ascii="楷体" w:hAnsi="楷体" w:eastAsia="楷体" w:cs="楷体"/>
          <w:b/>
          <w:sz w:val="32"/>
          <w:szCs w:val="32"/>
          <w:lang w:val="en-US" w:eastAsia="zh-CN"/>
        </w:rPr>
      </w:pP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lang w:val="en-US" w:eastAsia="zh-CN"/>
        </w:rPr>
        <w:t>十</w:t>
      </w: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lang w:val="en-US" w:eastAsia="zh-CN"/>
        </w:rPr>
        <w:t>预算一体化系统改革经费项目情况说明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1）项目概述：深化和完善预算管理一体化改革。</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2）立项依据：《江西省财政厅、中国人民银行南昌中心支行关于全面推行支付电子化管理工作的通知》（赣财库</w:t>
      </w:r>
      <w:r>
        <w:rPr>
          <w:rFonts w:hint="eastAsia" w:ascii="宋体" w:hAnsi="宋体" w:eastAsia="宋体" w:cs="宋体"/>
          <w:sz w:val="32"/>
          <w:szCs w:val="32"/>
          <w:u w:val="none"/>
          <w:lang w:val="en-US" w:eastAsia="zh-CN"/>
        </w:rPr>
        <w:t>﹝</w:t>
      </w:r>
      <w:r>
        <w:rPr>
          <w:rFonts w:hint="eastAsia" w:ascii="仿宋" w:hAnsi="仿宋" w:eastAsia="仿宋" w:cs="仿宋"/>
          <w:sz w:val="32"/>
          <w:szCs w:val="32"/>
          <w:u w:val="none"/>
          <w:lang w:val="en-US" w:eastAsia="zh-CN"/>
        </w:rPr>
        <w:t>2018</w:t>
      </w:r>
      <w:r>
        <w:rPr>
          <w:rFonts w:hint="eastAsia" w:ascii="宋体" w:hAnsi="宋体" w:eastAsia="宋体" w:cs="宋体"/>
          <w:sz w:val="32"/>
          <w:szCs w:val="32"/>
          <w:u w:val="none"/>
          <w:lang w:val="en-US" w:eastAsia="zh-CN"/>
        </w:rPr>
        <w:t>﹞</w:t>
      </w:r>
      <w:r>
        <w:rPr>
          <w:rFonts w:hint="eastAsia" w:ascii="仿宋" w:hAnsi="仿宋" w:eastAsia="仿宋" w:cs="仿宋"/>
          <w:sz w:val="32"/>
          <w:szCs w:val="32"/>
          <w:u w:val="none"/>
          <w:lang w:val="en-US" w:eastAsia="zh-CN"/>
        </w:rPr>
        <w:t>29号）</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3）实施主体：南康区财政国库集中收付核算中心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4）实施方案：及时办理国库集中支付业务，保障财政资金安全、高效拨付，维护预算单位财政业务正常运转，通过调查问卷、系统数据等指标综合考评国库集中支付代理银行，提高代理银行服务质量。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5）实施周期：经常性项目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6）年度预算安排：2022年安排预算一体化系统改革30万元。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7）绩效目标和指标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数量指标：组织相关工作培训、布置会数量＝2场、国库集中支付业务笔数&gt;10万笔</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质量指标：全区财政相关工作参与度＝100%、财政相关业务重点工作合格率＝100%</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时效指标：财政统发工资发放及时率＝100%、财政工作培训、布置会按期完成度＝100%、江西省预算一体化系统上线完成度＝100%</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成本指标：系统运行成本降低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社会效益指标：代理银行考评得分&gt;80、财政及区预算单位相关工作人员业务水平有提升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可持续影响指标：财政业务系统维护率＝100%</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满意度指标：预算单位对代理银行满意度&gt;=95%、受训人员满意度&gt;=95%、财政业务系统使用人员满意度&gt;=95%</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sz w:val="32"/>
          <w:szCs w:val="30"/>
        </w:rPr>
      </w:pPr>
      <w:r>
        <w:rPr>
          <w:rFonts w:hint="eastAsia" w:ascii="黑体" w:hAnsi="黑体" w:eastAsia="黑体" w:cs="黑体"/>
          <w:b w:val="0"/>
          <w:bCs/>
          <w:kern w:val="0"/>
          <w:sz w:val="32"/>
          <w:szCs w:val="32"/>
        </w:rPr>
        <w:t>二、</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2</w:t>
      </w:r>
      <w:r>
        <w:rPr>
          <w:rFonts w:hint="eastAsia" w:ascii="黑体" w:hAnsi="黑体" w:eastAsia="黑体" w:cs="黑体"/>
          <w:b w:val="0"/>
          <w:bCs/>
          <w:sz w:val="32"/>
          <w:szCs w:val="30"/>
        </w:rPr>
        <w:t>年“三公”经费预算情况说明</w:t>
      </w:r>
    </w:p>
    <w:p>
      <w:pPr>
        <w:spacing w:line="560" w:lineRule="exact"/>
        <w:ind w:left="1" w:right="449" w:rightChars="214"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2022年赣州市南康区财政国库集中收付核算中心 “三公”经费年初预算安排0.7万元。其中：</w:t>
      </w:r>
    </w:p>
    <w:p>
      <w:pPr>
        <w:spacing w:line="560" w:lineRule="exact"/>
        <w:ind w:left="1" w:right="449" w:rightChars="214"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因公出国（境）费0万元，比上年增（减）0万元，主要原因是：</w:t>
      </w:r>
    </w:p>
    <w:p>
      <w:pPr>
        <w:spacing w:line="560" w:lineRule="exact"/>
        <w:ind w:left="1" w:right="449" w:rightChars="214"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公务接待费0.7万元，比上年（减）0.2万元，主要原因是：保持三公经费不超去年预算。</w:t>
      </w:r>
    </w:p>
    <w:p>
      <w:pPr>
        <w:spacing w:line="560" w:lineRule="exact"/>
        <w:ind w:left="1" w:right="449" w:rightChars="214"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公务用车购置0万元，比上年增（减）0万元，主要原因是：2022年我单位暂无计划购置公务车辆。</w:t>
      </w:r>
    </w:p>
    <w:p>
      <w:pPr>
        <w:spacing w:line="560" w:lineRule="exact"/>
        <w:ind w:left="1" w:right="449" w:rightChars="214"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公务用车运行维护费0万元，比上年增（减）0万元，主要原因是：本部门已实施公务用车改革，未保留车辆。</w:t>
      </w:r>
    </w:p>
    <w:p>
      <w:pPr>
        <w:keepNext w:val="0"/>
        <w:keepLines w:val="0"/>
        <w:pageBreakBefore w:val="0"/>
        <w:widowControl/>
        <w:shd w:val="clear" w:color="auto" w:fill="FFFFFF"/>
        <w:kinsoku/>
        <w:wordWrap/>
        <w:overflowPunct/>
        <w:topLinePunct w:val="0"/>
        <w:autoSpaceDE/>
        <w:autoSpaceDN/>
        <w:bidi w:val="0"/>
        <w:spacing w:line="560" w:lineRule="exact"/>
        <w:ind w:firstLine="640"/>
        <w:jc w:val="center"/>
        <w:textAlignment w:val="auto"/>
        <w:rPr>
          <w:rFonts w:hint="eastAsia" w:ascii="黑体" w:hAnsi="黑体" w:eastAsia="黑体" w:cs="黑体"/>
          <w:b w:val="0"/>
          <w:bCs/>
          <w:sz w:val="32"/>
          <w:szCs w:val="30"/>
        </w:rPr>
      </w:pPr>
      <w:bookmarkStart w:id="0" w:name="_GoBack"/>
      <w:bookmarkEnd w:id="0"/>
    </w:p>
    <w:p>
      <w:pPr>
        <w:keepNext w:val="0"/>
        <w:keepLines w:val="0"/>
        <w:pageBreakBefore w:val="0"/>
        <w:widowControl/>
        <w:shd w:val="clear" w:color="auto" w:fill="FFFFFF"/>
        <w:kinsoku/>
        <w:wordWrap/>
        <w:overflowPunct/>
        <w:topLinePunct w:val="0"/>
        <w:autoSpaceDE/>
        <w:autoSpaceDN/>
        <w:bidi w:val="0"/>
        <w:spacing w:line="560" w:lineRule="exact"/>
        <w:ind w:firstLine="640"/>
        <w:jc w:val="center"/>
        <w:textAlignment w:val="auto"/>
        <w:rPr>
          <w:rFonts w:hint="eastAsia" w:ascii="黑体" w:hAnsi="黑体" w:eastAsia="黑体" w:cs="黑体"/>
          <w:b w:val="0"/>
          <w:bCs/>
          <w:color w:val="333333"/>
          <w:sz w:val="14"/>
          <w:szCs w:val="14"/>
        </w:rPr>
      </w:pPr>
      <w:r>
        <w:rPr>
          <w:rFonts w:hint="eastAsia" w:ascii="黑体" w:hAnsi="黑体" w:eastAsia="黑体" w:cs="黑体"/>
          <w:b w:val="0"/>
          <w:bCs/>
          <w:sz w:val="32"/>
          <w:szCs w:val="30"/>
        </w:rPr>
        <w:t>第四部分   名词解释</w:t>
      </w:r>
    </w:p>
    <w:p>
      <w:pPr>
        <w:keepNext w:val="0"/>
        <w:keepLines w:val="0"/>
        <w:pageBreakBefore w:val="0"/>
        <w:widowControl/>
        <w:shd w:val="clear" w:color="auto" w:fill="FFFFFF"/>
        <w:kinsoku/>
        <w:wordWrap/>
        <w:overflowPunct/>
        <w:topLinePunct w:val="0"/>
        <w:autoSpaceDE/>
        <w:autoSpaceDN/>
        <w:bidi w:val="0"/>
        <w:spacing w:line="560" w:lineRule="exact"/>
        <w:ind w:firstLine="800" w:firstLineChars="25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一、收入科目</w:t>
      </w:r>
    </w:p>
    <w:p>
      <w:pPr>
        <w:keepNext w:val="0"/>
        <w:keepLines w:val="0"/>
        <w:pageBreakBefore w:val="0"/>
        <w:widowControl/>
        <w:numPr>
          <w:ilvl w:val="0"/>
          <w:numId w:val="1"/>
        </w:numPr>
        <w:kinsoku/>
        <w:wordWrap/>
        <w:overflowPunct/>
        <w:topLinePunct w:val="0"/>
        <w:autoSpaceDE/>
        <w:autoSpaceDN/>
        <w:bidi w:val="0"/>
        <w:spacing w:line="560" w:lineRule="exact"/>
        <w:ind w:firstLine="640"/>
        <w:jc w:val="left"/>
        <w:textAlignment w:val="auto"/>
        <w:rPr>
          <w:rFonts w:hint="eastAsia" w:ascii="仿宋" w:hAnsi="仿宋" w:eastAsia="仿宋" w:cs="仿宋"/>
          <w:color w:val="000000"/>
          <w:sz w:val="32"/>
          <w:szCs w:val="30"/>
        </w:rPr>
      </w:pPr>
      <w:r>
        <w:rPr>
          <w:rFonts w:hint="eastAsia" w:ascii="仿宋" w:hAnsi="仿宋" w:eastAsia="仿宋" w:cs="仿宋"/>
          <w:color w:val="000000"/>
          <w:sz w:val="32"/>
          <w:szCs w:val="30"/>
        </w:rPr>
        <w:t>财政拨款：指</w:t>
      </w:r>
      <w:r>
        <w:rPr>
          <w:rFonts w:hint="eastAsia" w:ascii="仿宋" w:hAnsi="仿宋" w:eastAsia="仿宋" w:cs="仿宋"/>
          <w:color w:val="000000"/>
          <w:sz w:val="32"/>
          <w:szCs w:val="30"/>
          <w:lang w:eastAsia="zh-CN"/>
        </w:rPr>
        <w:t>南康</w:t>
      </w:r>
      <w:r>
        <w:rPr>
          <w:rFonts w:hint="eastAsia" w:ascii="仿宋" w:hAnsi="仿宋" w:eastAsia="仿宋" w:cs="仿宋"/>
          <w:color w:val="000000"/>
          <w:sz w:val="32"/>
          <w:szCs w:val="30"/>
          <w:lang w:val="en-US" w:eastAsia="zh-CN"/>
        </w:rPr>
        <w:t>区</w:t>
      </w:r>
      <w:r>
        <w:rPr>
          <w:rFonts w:hint="eastAsia" w:ascii="仿宋" w:hAnsi="仿宋" w:eastAsia="仿宋" w:cs="仿宋"/>
          <w:color w:val="000000"/>
          <w:sz w:val="32"/>
          <w:szCs w:val="30"/>
        </w:rPr>
        <w:t>级财政当年拨付的资金。</w:t>
      </w:r>
    </w:p>
    <w:p>
      <w:pPr>
        <w:keepNext w:val="0"/>
        <w:keepLines w:val="0"/>
        <w:pageBreakBefore w:val="0"/>
        <w:widowControl/>
        <w:kinsoku/>
        <w:wordWrap/>
        <w:overflowPunct/>
        <w:topLinePunct w:val="0"/>
        <w:autoSpaceDE/>
        <w:autoSpaceDN/>
        <w:bidi w:val="0"/>
        <w:spacing w:line="560" w:lineRule="exact"/>
        <w:ind w:firstLine="636"/>
        <w:jc w:val="left"/>
        <w:textAlignment w:val="auto"/>
        <w:rPr>
          <w:rFonts w:hint="eastAsia" w:ascii="仿宋" w:hAnsi="仿宋" w:eastAsia="仿宋" w:cs="仿宋"/>
          <w:color w:val="000000"/>
          <w:sz w:val="32"/>
          <w:szCs w:val="30"/>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w:t>
      </w:r>
      <w:r>
        <w:rPr>
          <w:rFonts w:hint="eastAsia" w:ascii="仿宋" w:hAnsi="仿宋" w:eastAsia="仿宋" w:cs="仿宋"/>
          <w:color w:val="000000"/>
          <w:sz w:val="32"/>
          <w:szCs w:val="30"/>
        </w:rPr>
        <w:t>事业收入：指事业单位开展专业业务活动及辅助活动取得的收入。</w:t>
      </w:r>
    </w:p>
    <w:p>
      <w:pPr>
        <w:keepNext w:val="0"/>
        <w:keepLines w:val="0"/>
        <w:pageBreakBefore w:val="0"/>
        <w:widowControl/>
        <w:kinsoku/>
        <w:wordWrap/>
        <w:overflowPunct/>
        <w:topLinePunct w:val="0"/>
        <w:autoSpaceDE/>
        <w:autoSpaceDN/>
        <w:bidi w:val="0"/>
        <w:spacing w:line="560" w:lineRule="exact"/>
        <w:ind w:firstLine="636"/>
        <w:jc w:val="left"/>
        <w:textAlignment w:val="auto"/>
        <w:rPr>
          <w:rFonts w:hint="eastAsia" w:ascii="仿宋" w:hAnsi="仿宋" w:eastAsia="仿宋" w:cs="仿宋"/>
          <w:color w:val="000000"/>
          <w:sz w:val="32"/>
          <w:szCs w:val="30"/>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color w:val="000000"/>
          <w:sz w:val="32"/>
          <w:szCs w:val="30"/>
        </w:rPr>
        <w:t>事业单位经营收入：指事业单位在专业业务活动及辅助活动之外开展非独立核算经营活动取得的收入。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spacing w:line="560" w:lineRule="exact"/>
        <w:ind w:firstLine="636"/>
        <w:jc w:val="left"/>
        <w:textAlignment w:val="auto"/>
        <w:rPr>
          <w:rFonts w:hint="eastAsia" w:ascii="仿宋" w:hAnsi="仿宋" w:eastAsia="仿宋" w:cs="仿宋"/>
          <w:sz w:val="32"/>
          <w:szCs w:val="32"/>
        </w:rPr>
      </w:pPr>
      <w:r>
        <w:rPr>
          <w:rFonts w:hint="eastAsia" w:ascii="仿宋" w:hAnsi="仿宋" w:eastAsia="仿宋" w:cs="仿宋"/>
          <w:sz w:val="32"/>
          <w:szCs w:val="30"/>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color w:val="000000"/>
          <w:sz w:val="32"/>
          <w:szCs w:val="30"/>
        </w:rPr>
        <w:t>附属单位上缴收入：反映事业单位附属的独立核算单位按规定标准或比例缴纳的各项收入。包括附属的事业单位上缴的收入和附属的企业上缴的利润等。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0"/>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color w:val="000000"/>
          <w:sz w:val="32"/>
          <w:szCs w:val="30"/>
        </w:rPr>
        <w:t>上级补助收入：反映事业单位从主管部门和上级单位取得的非财政补助收入。</w:t>
      </w:r>
    </w:p>
    <w:p>
      <w:pPr>
        <w:keepNext w:val="0"/>
        <w:keepLines w:val="0"/>
        <w:pageBreakBefore w:val="0"/>
        <w:widowControl/>
        <w:kinsoku/>
        <w:wordWrap/>
        <w:overflowPunct/>
        <w:topLinePunct w:val="0"/>
        <w:autoSpaceDE/>
        <w:autoSpaceDN/>
        <w:bidi w:val="0"/>
        <w:spacing w:line="560" w:lineRule="exact"/>
        <w:ind w:firstLine="636"/>
        <w:jc w:val="left"/>
        <w:textAlignment w:val="auto"/>
        <w:rPr>
          <w:rFonts w:hint="eastAsia" w:ascii="仿宋" w:hAnsi="仿宋" w:eastAsia="仿宋" w:cs="仿宋"/>
          <w:color w:val="000000"/>
          <w:sz w:val="32"/>
          <w:szCs w:val="30"/>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w:t>
      </w:r>
      <w:r>
        <w:rPr>
          <w:rFonts w:hint="eastAsia" w:ascii="仿宋" w:hAnsi="仿宋" w:eastAsia="仿宋" w:cs="仿宋"/>
          <w:color w:val="000000"/>
          <w:sz w:val="32"/>
          <w:szCs w:val="30"/>
        </w:rPr>
        <w:t>其他收入：指除财政拨款、事业收入、事业单位经营收入等以外的各项收入。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0"/>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w:t>
      </w:r>
      <w:r>
        <w:rPr>
          <w:rFonts w:hint="eastAsia" w:ascii="仿宋" w:hAnsi="仿宋" w:eastAsia="仿宋" w:cs="仿宋"/>
          <w:color w:val="000000"/>
          <w:sz w:val="32"/>
          <w:szCs w:val="30"/>
        </w:rPr>
        <w:t>使用非财政拨款结余：填列历年滚存的非限定用途的非统计财政拨款结余弥补</w:t>
      </w:r>
      <w:r>
        <w:rPr>
          <w:rFonts w:hint="eastAsia" w:ascii="仿宋" w:hAnsi="仿宋" w:eastAsia="仿宋" w:cs="仿宋"/>
          <w:color w:val="000000"/>
          <w:sz w:val="32"/>
          <w:szCs w:val="30"/>
          <w:lang w:eastAsia="zh-CN"/>
        </w:rPr>
        <w:t>202</w:t>
      </w:r>
      <w:r>
        <w:rPr>
          <w:rFonts w:hint="eastAsia" w:ascii="仿宋" w:hAnsi="仿宋" w:eastAsia="仿宋" w:cs="仿宋"/>
          <w:color w:val="000000"/>
          <w:sz w:val="32"/>
          <w:szCs w:val="30"/>
          <w:lang w:val="en-US" w:eastAsia="zh-CN"/>
        </w:rPr>
        <w:t>2</w:t>
      </w:r>
      <w:r>
        <w:rPr>
          <w:rFonts w:hint="eastAsia" w:ascii="仿宋" w:hAnsi="仿宋" w:eastAsia="仿宋" w:cs="仿宋"/>
          <w:color w:val="000000"/>
          <w:sz w:val="32"/>
          <w:szCs w:val="30"/>
        </w:rPr>
        <w:t>年收支差额的数额。</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0"/>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w:t>
      </w:r>
      <w:r>
        <w:rPr>
          <w:rFonts w:hint="eastAsia" w:ascii="仿宋" w:hAnsi="仿宋" w:eastAsia="仿宋" w:cs="仿宋"/>
          <w:color w:val="000000"/>
          <w:sz w:val="32"/>
          <w:szCs w:val="30"/>
        </w:rPr>
        <w:t>上年结转和结余：填列202</w:t>
      </w:r>
      <w:r>
        <w:rPr>
          <w:rFonts w:hint="eastAsia" w:ascii="仿宋" w:hAnsi="仿宋" w:eastAsia="仿宋" w:cs="仿宋"/>
          <w:color w:val="000000"/>
          <w:sz w:val="32"/>
          <w:szCs w:val="30"/>
          <w:lang w:val="en-US" w:eastAsia="zh-CN"/>
        </w:rPr>
        <w:t>1</w:t>
      </w:r>
      <w:r>
        <w:rPr>
          <w:rFonts w:hint="eastAsia" w:ascii="仿宋" w:hAnsi="仿宋" w:eastAsia="仿宋" w:cs="仿宋"/>
          <w:color w:val="000000"/>
          <w:sz w:val="32"/>
          <w:szCs w:val="30"/>
        </w:rPr>
        <w:t>年全部结转和结余的资金数，包括当年结转结余资金和历年滚存结转结余资金。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二、支出科目</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（一）行政运行：反映行政单位（包括实行公务员管理的事业单位）的基本支出。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（二）一般行政管理事务：反映行政单位（包括实行公务员管理的事业单位）未单独设置项级科目的其他项目支出。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（三）财政国库业务：反映财政部门用于财政国库集中支出收付业务方面的支出。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（四）信息化建设：反映财政部门用于信息化建设方面的支出。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（五）事业运行：反映事业单位的基本支出。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（六）其他财政事务支出：反映除上述项目以外的其他财政事务方面的支出。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（七）机关事业单位基本养老保险缴费支出：反映机关事业单位实施养老保险制度由单位缴纳的基本养老保险费的支出。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（八）其他社会保障和就业支出：反映除上述项目以外其他用于社会保障和就业方面的支出。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（九）行政单位医疗：反映财政部门安排的行政单位（包括实行公务员管理的事业单位）基本医疗保险缴费经费。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（十）事业单位医疗：反映财政部门安排的事业单位基本医疗保险缴费经费。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（十一）公务员医疗补助：反映财政部门安排的公务员医疗补助经费。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val="en-US" w:eastAsia="zh-CN"/>
        </w:rPr>
      </w:pPr>
      <w:r>
        <w:rPr>
          <w:rFonts w:hint="eastAsia" w:ascii="仿宋" w:hAnsi="仿宋" w:eastAsia="仿宋" w:cs="仿宋"/>
          <w:color w:val="000000"/>
          <w:sz w:val="32"/>
          <w:szCs w:val="30"/>
          <w:lang w:eastAsia="zh-CN"/>
        </w:rPr>
        <w:t>（十二）住房公积金：反映行政事业单位按人力资源和社会保障部、财政部规定的基本工资和津补贴以及规定比例为职工缴纳的住房公积金。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val="en-US" w:eastAsia="zh-CN"/>
        </w:rPr>
        <w:t>相关</w:t>
      </w:r>
      <w:r>
        <w:rPr>
          <w:rFonts w:hint="eastAsia" w:ascii="黑体" w:hAnsi="黑体" w:eastAsia="黑体" w:cs="黑体"/>
          <w:b w:val="0"/>
          <w:bCs w:val="0"/>
          <w:sz w:val="32"/>
          <w:szCs w:val="32"/>
        </w:rPr>
        <w:t>专业名词</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val="en-US" w:eastAsia="zh-CN"/>
        </w:rPr>
      </w:pPr>
      <w:r>
        <w:rPr>
          <w:rFonts w:hint="eastAsia" w:ascii="仿宋" w:hAnsi="仿宋" w:eastAsia="仿宋" w:cs="仿宋"/>
          <w:color w:val="000000"/>
          <w:sz w:val="32"/>
          <w:szCs w:val="30"/>
          <w:lang w:eastAsia="zh-CN"/>
        </w:rPr>
        <w:t>（一）“三公”经费：纳入预算管理的“三公”经费，是指用财政拨款安排的因公出国（境</w:t>
      </w:r>
      <w:r>
        <w:rPr>
          <w:rFonts w:hint="eastAsia" w:ascii="仿宋" w:hAnsi="仿宋" w:eastAsia="仿宋" w:cs="仿宋"/>
          <w:color w:val="000000"/>
          <w:sz w:val="32"/>
          <w:szCs w:val="30"/>
          <w:lang w:val="en-US" w:eastAsia="zh-CN"/>
        </w:rPr>
        <w:t>)费、公务用车购置及运行费和公务接待费。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val="en-US" w:eastAsia="zh-CN"/>
        </w:rPr>
      </w:pPr>
      <w:r>
        <w:rPr>
          <w:rFonts w:hint="eastAsia" w:ascii="仿宋" w:hAnsi="仿宋" w:eastAsia="仿宋" w:cs="仿宋"/>
          <w:color w:val="000000"/>
          <w:sz w:val="32"/>
          <w:szCs w:val="30"/>
          <w:lang w:val="en-US" w:eastAsia="zh-CN"/>
        </w:rPr>
        <w:t>（二）机关运行经费：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spacing w:line="560" w:lineRule="exact"/>
        <w:ind w:right="449" w:rightChars="214"/>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rPr>
      </w:pPr>
    </w:p>
    <w:sectPr>
      <w:headerReference r:id="rId3" w:type="default"/>
      <w:footerReference r:id="rId4" w:type="even"/>
      <w:pgSz w:w="11906" w:h="16838"/>
      <w:pgMar w:top="1701" w:right="1797" w:bottom="1701" w:left="1797"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425F58-1B7D-4D7F-B102-E53D04FC5C3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9EFC3BF-5E3A-414D-BD5E-573814A3F0BE}"/>
  </w:font>
  <w:font w:name="方正小标宋简体">
    <w:panose1 w:val="02000000000000000000"/>
    <w:charset w:val="86"/>
    <w:family w:val="script"/>
    <w:pitch w:val="default"/>
    <w:sig w:usb0="00000001" w:usb1="08000000" w:usb2="00000000" w:usb3="00000000" w:csb0="00040000" w:csb1="00000000"/>
    <w:embedRegular r:id="rId3" w:fontKey="{77D71915-53D0-4661-AA8C-0024D3900BF5}"/>
  </w:font>
  <w:font w:name="仿宋_GB2312">
    <w:altName w:val="仿宋"/>
    <w:panose1 w:val="02010609030101010101"/>
    <w:charset w:val="86"/>
    <w:family w:val="modern"/>
    <w:pitch w:val="default"/>
    <w:sig w:usb0="00000000" w:usb1="00000000" w:usb2="00000000" w:usb3="00000000" w:csb0="00040000" w:csb1="00000000"/>
    <w:embedRegular r:id="rId4" w:fontKey="{11D17ED5-E2A0-4CA8-915E-E040F52C53BD}"/>
  </w:font>
  <w:font w:name="仿宋">
    <w:panose1 w:val="02010609060101010101"/>
    <w:charset w:val="86"/>
    <w:family w:val="auto"/>
    <w:pitch w:val="default"/>
    <w:sig w:usb0="800002BF" w:usb1="38CF7CFA" w:usb2="00000016" w:usb3="00000000" w:csb0="00040001" w:csb1="00000000"/>
    <w:embedRegular r:id="rId5" w:fontKey="{5C5270E6-820D-44D1-9B3F-B7BB129C01C4}"/>
  </w:font>
  <w:font w:name="楷体">
    <w:panose1 w:val="02010609060101010101"/>
    <w:charset w:val="86"/>
    <w:family w:val="auto"/>
    <w:pitch w:val="default"/>
    <w:sig w:usb0="800002BF" w:usb1="38CF7CFA" w:usb2="00000016" w:usb3="00000000" w:csb0="00040001" w:csb1="00000000"/>
    <w:embedRegular r:id="rId6" w:fontKey="{A1FE956F-9691-4C87-9481-6A4ABA714B47}"/>
  </w:font>
  <w:font w:name="Adobe 仿宋 Std R">
    <w:altName w:val="仿宋"/>
    <w:panose1 w:val="00000000000000000000"/>
    <w:charset w:val="86"/>
    <w:family w:val="auto"/>
    <w:pitch w:val="default"/>
    <w:sig w:usb0="00000000" w:usb1="00000000" w:usb2="00000016" w:usb3="00000000" w:csb0="00060007" w:csb1="00000000"/>
    <w:embedRegular r:id="rId7" w:fontKey="{92C3072E-F135-44DE-9FF8-12DDB03559C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4ZWM5NWU2NTkzNGMxY2Y1NThkZjY2MGMzOTEzOWUifQ=="/>
  </w:docVars>
  <w:rsids>
    <w:rsidRoot w:val="216B3C95"/>
    <w:rsid w:val="006E4A62"/>
    <w:rsid w:val="00902C2A"/>
    <w:rsid w:val="00990D9F"/>
    <w:rsid w:val="0288383F"/>
    <w:rsid w:val="03B15391"/>
    <w:rsid w:val="03C13F39"/>
    <w:rsid w:val="03D94095"/>
    <w:rsid w:val="049B686C"/>
    <w:rsid w:val="05777F14"/>
    <w:rsid w:val="07821A66"/>
    <w:rsid w:val="07AD2E51"/>
    <w:rsid w:val="08E60C68"/>
    <w:rsid w:val="09227017"/>
    <w:rsid w:val="09522E4A"/>
    <w:rsid w:val="09655CC6"/>
    <w:rsid w:val="0A5C1119"/>
    <w:rsid w:val="0A7456FB"/>
    <w:rsid w:val="0AC260D6"/>
    <w:rsid w:val="0AC61007"/>
    <w:rsid w:val="0E680D42"/>
    <w:rsid w:val="0E6F3328"/>
    <w:rsid w:val="0F6E0241"/>
    <w:rsid w:val="0F7D71A0"/>
    <w:rsid w:val="10246F5A"/>
    <w:rsid w:val="126F03B0"/>
    <w:rsid w:val="1275424D"/>
    <w:rsid w:val="13215AF6"/>
    <w:rsid w:val="13F56528"/>
    <w:rsid w:val="14C319DD"/>
    <w:rsid w:val="172F61EF"/>
    <w:rsid w:val="17F35B20"/>
    <w:rsid w:val="186758E2"/>
    <w:rsid w:val="186F3018"/>
    <w:rsid w:val="19F748AB"/>
    <w:rsid w:val="1A2F0966"/>
    <w:rsid w:val="1AB54F4E"/>
    <w:rsid w:val="1ACE1000"/>
    <w:rsid w:val="1C43089F"/>
    <w:rsid w:val="1D0B56BA"/>
    <w:rsid w:val="1D855C05"/>
    <w:rsid w:val="1E0072AB"/>
    <w:rsid w:val="1E4D34AF"/>
    <w:rsid w:val="20653333"/>
    <w:rsid w:val="216B3C95"/>
    <w:rsid w:val="21B9578A"/>
    <w:rsid w:val="23966BD8"/>
    <w:rsid w:val="240422A6"/>
    <w:rsid w:val="25B91244"/>
    <w:rsid w:val="25C96113"/>
    <w:rsid w:val="268564DD"/>
    <w:rsid w:val="2B960845"/>
    <w:rsid w:val="2C2767C2"/>
    <w:rsid w:val="2C4C35F9"/>
    <w:rsid w:val="2D206443"/>
    <w:rsid w:val="2DAC4443"/>
    <w:rsid w:val="2ED5132C"/>
    <w:rsid w:val="301D6D19"/>
    <w:rsid w:val="3183483E"/>
    <w:rsid w:val="322F72FD"/>
    <w:rsid w:val="323D6E6B"/>
    <w:rsid w:val="32D06D32"/>
    <w:rsid w:val="32DF0D23"/>
    <w:rsid w:val="33193FAE"/>
    <w:rsid w:val="39902D77"/>
    <w:rsid w:val="3A6B1A86"/>
    <w:rsid w:val="3B844B5E"/>
    <w:rsid w:val="3C4452EA"/>
    <w:rsid w:val="3D6A209F"/>
    <w:rsid w:val="3DE41987"/>
    <w:rsid w:val="3F37655A"/>
    <w:rsid w:val="3F8A2AD8"/>
    <w:rsid w:val="40095F44"/>
    <w:rsid w:val="40916691"/>
    <w:rsid w:val="411F02FE"/>
    <w:rsid w:val="41C645C6"/>
    <w:rsid w:val="41EC23EE"/>
    <w:rsid w:val="42C35F6C"/>
    <w:rsid w:val="43683470"/>
    <w:rsid w:val="4391606A"/>
    <w:rsid w:val="45B06523"/>
    <w:rsid w:val="45D73D55"/>
    <w:rsid w:val="45F91CA4"/>
    <w:rsid w:val="465A3CD4"/>
    <w:rsid w:val="47875C74"/>
    <w:rsid w:val="48534749"/>
    <w:rsid w:val="48BB6E3E"/>
    <w:rsid w:val="48FB6EA2"/>
    <w:rsid w:val="49063FA7"/>
    <w:rsid w:val="494B2817"/>
    <w:rsid w:val="4A967416"/>
    <w:rsid w:val="4AF44538"/>
    <w:rsid w:val="4AF64A04"/>
    <w:rsid w:val="4BEC1341"/>
    <w:rsid w:val="4BFA1FA3"/>
    <w:rsid w:val="4CD754F1"/>
    <w:rsid w:val="4D3E12ED"/>
    <w:rsid w:val="4F0C6E4A"/>
    <w:rsid w:val="4F1B621B"/>
    <w:rsid w:val="4F44241B"/>
    <w:rsid w:val="5107796B"/>
    <w:rsid w:val="511D2CEB"/>
    <w:rsid w:val="516C3A94"/>
    <w:rsid w:val="522E0F28"/>
    <w:rsid w:val="52453EBC"/>
    <w:rsid w:val="5245699D"/>
    <w:rsid w:val="551B5565"/>
    <w:rsid w:val="57272B3D"/>
    <w:rsid w:val="58242BB1"/>
    <w:rsid w:val="5826193C"/>
    <w:rsid w:val="5B0F23A1"/>
    <w:rsid w:val="5CCE13A3"/>
    <w:rsid w:val="5D3572A6"/>
    <w:rsid w:val="5E3A11F2"/>
    <w:rsid w:val="5FBC7B73"/>
    <w:rsid w:val="61091C4B"/>
    <w:rsid w:val="61286E94"/>
    <w:rsid w:val="618D5725"/>
    <w:rsid w:val="61DF5D99"/>
    <w:rsid w:val="62087155"/>
    <w:rsid w:val="62A32E82"/>
    <w:rsid w:val="64374764"/>
    <w:rsid w:val="65006F98"/>
    <w:rsid w:val="65DF280D"/>
    <w:rsid w:val="671E1113"/>
    <w:rsid w:val="69032B47"/>
    <w:rsid w:val="69D31EFD"/>
    <w:rsid w:val="6ACA583A"/>
    <w:rsid w:val="6EA63EC8"/>
    <w:rsid w:val="6FBD0612"/>
    <w:rsid w:val="714D0F73"/>
    <w:rsid w:val="71C92444"/>
    <w:rsid w:val="73310977"/>
    <w:rsid w:val="733F28AB"/>
    <w:rsid w:val="73E62FB9"/>
    <w:rsid w:val="74A4534E"/>
    <w:rsid w:val="754A10BA"/>
    <w:rsid w:val="758541B9"/>
    <w:rsid w:val="75BD0EA2"/>
    <w:rsid w:val="76345578"/>
    <w:rsid w:val="769816BE"/>
    <w:rsid w:val="76EF34E6"/>
    <w:rsid w:val="7736077B"/>
    <w:rsid w:val="78866ABF"/>
    <w:rsid w:val="79765BC2"/>
    <w:rsid w:val="79780DA9"/>
    <w:rsid w:val="79C22100"/>
    <w:rsid w:val="7C53339A"/>
    <w:rsid w:val="7C7D04B4"/>
    <w:rsid w:val="7CE15A92"/>
    <w:rsid w:val="7D3C168D"/>
    <w:rsid w:val="7D677692"/>
    <w:rsid w:val="7E321315"/>
    <w:rsid w:val="7E633BD8"/>
    <w:rsid w:val="7EC93272"/>
    <w:rsid w:val="7FAF3519"/>
    <w:rsid w:val="7FEC2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rFonts w:ascii="Times New Roman" w:hAnsi="Times New Roman" w:eastAsia="宋体" w:cs="Times New Roman"/>
      <w:kern w:val="0"/>
      <w:szCs w:val="21"/>
    </w:rPr>
  </w:style>
  <w:style w:type="character" w:customStyle="1" w:styleId="7">
    <w:name w:val="row_tree_level_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4377</Words>
  <Characters>4785</Characters>
  <Lines>0</Lines>
  <Paragraphs>0</Paragraphs>
  <TotalTime>29</TotalTime>
  <ScaleCrop>false</ScaleCrop>
  <LinksUpToDate>false</LinksUpToDate>
  <CharactersWithSpaces>4840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2022-09-15T02:24:00Z</dcterms:created>
  <dc:creator>Administrator</dc:creator>
  <cp:lastModifiedBy>xh</cp:lastModifiedBy>
  <dcterms:modified xsi:type="dcterms:W3CDTF">2023-06-08T08:42:47Z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8944B167426644429B1F2494A5256A17</vt:lpwstr>
  </property>
</Properties>
</file>