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方正小标宋简体" w:hAnsi="仿宋_GB2312" w:eastAsia="方正小标宋简体"/>
          <w:sz w:val="44"/>
          <w:szCs w:val="44"/>
          <w:lang w:eastAsia="zh-CN"/>
        </w:rPr>
      </w:pPr>
      <w:r>
        <w:rPr>
          <w:rFonts w:hint="eastAsia" w:ascii="方正小标宋简体" w:hAnsi="仿宋_GB2312" w:eastAsia="方正小标宋简体"/>
          <w:sz w:val="44"/>
          <w:szCs w:val="44"/>
        </w:rPr>
        <w:t>赣州市南康区</w:t>
      </w:r>
      <w:r>
        <w:rPr>
          <w:rFonts w:hint="eastAsia" w:ascii="方正小标宋简体" w:hAnsi="仿宋_GB2312" w:eastAsia="方正小标宋简体"/>
          <w:sz w:val="44"/>
          <w:szCs w:val="44"/>
          <w:lang w:eastAsia="zh-CN"/>
        </w:rPr>
        <w:t>财政公共服务中心</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方正小标宋简体" w:hAnsi="仿宋_GB2312" w:eastAsia="方正小标宋简体"/>
          <w:sz w:val="44"/>
          <w:szCs w:val="44"/>
          <w:lang w:eastAsia="zh-CN"/>
        </w:rPr>
      </w:pPr>
      <w:r>
        <w:rPr>
          <w:rFonts w:hint="eastAsia" w:ascii="方正小标宋简体" w:hAnsi="仿宋_GB2312" w:eastAsia="方正小标宋简体"/>
          <w:sz w:val="44"/>
          <w:szCs w:val="44"/>
        </w:rPr>
        <w:t>202</w:t>
      </w:r>
      <w:r>
        <w:rPr>
          <w:rFonts w:hint="eastAsia" w:ascii="方正小标宋简体" w:hAnsi="仿宋_GB2312" w:eastAsia="方正小标宋简体"/>
          <w:sz w:val="44"/>
          <w:szCs w:val="44"/>
          <w:lang w:val="en-US" w:eastAsia="zh-CN"/>
        </w:rPr>
        <w:t>4</w:t>
      </w:r>
      <w:r>
        <w:rPr>
          <w:rFonts w:hint="eastAsia" w:ascii="方正小标宋简体" w:hAnsi="仿宋_GB2312" w:eastAsia="方正小标宋简体"/>
          <w:sz w:val="44"/>
          <w:szCs w:val="44"/>
        </w:rPr>
        <w:t>年</w:t>
      </w:r>
      <w:r>
        <w:rPr>
          <w:rFonts w:hint="eastAsia" w:ascii="方正小标宋简体" w:hAnsi="仿宋_GB2312" w:eastAsia="方正小标宋简体"/>
          <w:sz w:val="44"/>
          <w:szCs w:val="44"/>
          <w:lang w:eastAsia="zh-CN"/>
        </w:rPr>
        <w:t>部门预算</w:t>
      </w:r>
    </w:p>
    <w:p>
      <w:pPr>
        <w:pStyle w:val="6"/>
        <w:keepNext w:val="0"/>
        <w:keepLines w:val="0"/>
        <w:pageBreakBefore w:val="0"/>
        <w:kinsoku/>
        <w:wordWrap/>
        <w:overflowPunct/>
        <w:topLinePunct w:val="0"/>
        <w:autoSpaceDE/>
        <w:autoSpaceDN/>
        <w:bidi w:val="0"/>
        <w:spacing w:line="520" w:lineRule="exact"/>
        <w:jc w:val="left"/>
        <w:textAlignment w:val="auto"/>
        <w:rPr>
          <w:rFonts w:hint="eastAsia" w:ascii="黑体" w:hAnsi="黑体" w:eastAsia="黑体"/>
          <w:color w:val="000000"/>
          <w:sz w:val="32"/>
          <w:szCs w:val="32"/>
        </w:rPr>
      </w:pPr>
    </w:p>
    <w:p>
      <w:pPr>
        <w:pStyle w:val="6"/>
        <w:keepNext w:val="0"/>
        <w:keepLines w:val="0"/>
        <w:pageBreakBefore w:val="0"/>
        <w:kinsoku/>
        <w:wordWrap/>
        <w:overflowPunct/>
        <w:topLinePunct w:val="0"/>
        <w:autoSpaceDE/>
        <w:autoSpaceDN/>
        <w:bidi w:val="0"/>
        <w:spacing w:line="520" w:lineRule="exact"/>
        <w:jc w:val="center"/>
        <w:textAlignment w:val="auto"/>
        <w:rPr>
          <w:rFonts w:hint="eastAsia" w:ascii="黑体" w:hAnsi="黑体" w:eastAsia="黑体"/>
          <w:color w:val="FF0000"/>
          <w:sz w:val="32"/>
          <w:szCs w:val="32"/>
          <w:lang w:eastAsia="zh-CN"/>
        </w:rPr>
      </w:pPr>
      <w:r>
        <w:rPr>
          <w:rFonts w:hint="eastAsia" w:ascii="黑体" w:hAnsi="黑体" w:eastAsia="黑体"/>
          <w:color w:val="000000"/>
          <w:sz w:val="32"/>
          <w:szCs w:val="32"/>
        </w:rPr>
        <w:t>目    录</w:t>
      </w:r>
    </w:p>
    <w:p>
      <w:pPr>
        <w:pStyle w:val="6"/>
        <w:keepNext w:val="0"/>
        <w:keepLines w:val="0"/>
        <w:pageBreakBefore w:val="0"/>
        <w:widowControl/>
        <w:tabs>
          <w:tab w:val="right" w:pos="8306"/>
        </w:tabs>
        <w:kinsoku/>
        <w:wordWrap/>
        <w:overflowPunct/>
        <w:topLinePunct w:val="0"/>
        <w:autoSpaceDE/>
        <w:autoSpaceDN/>
        <w:bidi w:val="0"/>
        <w:adjustRightInd/>
        <w:snapToGrid/>
        <w:spacing w:line="520" w:lineRule="exact"/>
        <w:ind w:left="0" w:leftChars="0" w:right="0" w:rightChars="0" w:firstLine="640"/>
        <w:jc w:val="left"/>
        <w:textAlignment w:val="auto"/>
        <w:outlineLvl w:val="9"/>
        <w:rPr>
          <w:rFonts w:ascii="仿宋_GB2312" w:eastAsia="仿宋_GB2312"/>
          <w:b/>
          <w:bCs/>
          <w:color w:val="000000"/>
          <w:sz w:val="32"/>
          <w:szCs w:val="32"/>
        </w:rPr>
      </w:pPr>
      <w:r>
        <w:rPr>
          <w:rFonts w:hint="eastAsia" w:ascii="楷体" w:hAnsi="楷体" w:eastAsia="楷体" w:cs="楷体"/>
          <w:b/>
          <w:bCs/>
          <w:color w:val="000000"/>
          <w:sz w:val="32"/>
          <w:szCs w:val="32"/>
        </w:rPr>
        <w:t xml:space="preserve">第一部分  </w:t>
      </w:r>
      <w:r>
        <w:rPr>
          <w:rFonts w:hint="eastAsia" w:ascii="楷体" w:hAnsi="楷体" w:eastAsia="楷体" w:cs="楷体"/>
          <w:b/>
          <w:bCs/>
          <w:color w:val="000000"/>
          <w:sz w:val="32"/>
          <w:szCs w:val="32"/>
          <w:lang w:eastAsia="zh-CN"/>
        </w:rPr>
        <w:t>赣州市南康区财政公共服务中心</w:t>
      </w:r>
      <w:r>
        <w:rPr>
          <w:rFonts w:hint="eastAsia" w:ascii="楷体" w:hAnsi="楷体" w:eastAsia="楷体" w:cs="楷体"/>
          <w:b/>
          <w:bCs/>
          <w:color w:val="000000"/>
          <w:sz w:val="32"/>
          <w:szCs w:val="32"/>
        </w:rPr>
        <w:t>概况</w:t>
      </w:r>
    </w:p>
    <w:p>
      <w:pPr>
        <w:pStyle w:val="6"/>
        <w:keepNext w:val="0"/>
        <w:keepLines w:val="0"/>
        <w:pageBreakBefore w:val="0"/>
        <w:widowControl/>
        <w:kinsoku/>
        <w:wordWrap/>
        <w:overflowPunct/>
        <w:topLinePunct w:val="0"/>
        <w:autoSpaceDE/>
        <w:autoSpaceDN/>
        <w:bidi w:val="0"/>
        <w:adjustRightInd/>
        <w:snapToGrid/>
        <w:spacing w:line="520" w:lineRule="exact"/>
        <w:ind w:left="0" w:leftChars="0" w:right="0" w:rightChars="0" w:firstLine="1120" w:firstLineChars="350"/>
        <w:jc w:val="left"/>
        <w:textAlignment w:val="auto"/>
        <w:outlineLvl w:val="9"/>
        <w:rPr>
          <w:rFonts w:hint="eastAsia" w:ascii="仿宋" w:hAnsi="仿宋" w:eastAsia="仿宋" w:cs="仿宋"/>
          <w:kern w:val="2"/>
          <w:sz w:val="32"/>
          <w:szCs w:val="30"/>
          <w:lang w:eastAsia="zh-CN"/>
        </w:rPr>
      </w:pPr>
      <w:r>
        <w:rPr>
          <w:rFonts w:hint="eastAsia" w:ascii="仿宋" w:hAnsi="仿宋" w:eastAsia="仿宋" w:cs="仿宋"/>
          <w:kern w:val="2"/>
          <w:sz w:val="32"/>
          <w:szCs w:val="30"/>
          <w:lang w:eastAsia="zh-CN"/>
        </w:rPr>
        <w:t>一、部门主要职责</w:t>
      </w:r>
    </w:p>
    <w:p>
      <w:pPr>
        <w:pStyle w:val="6"/>
        <w:keepNext w:val="0"/>
        <w:keepLines w:val="0"/>
        <w:pageBreakBefore w:val="0"/>
        <w:widowControl/>
        <w:kinsoku/>
        <w:wordWrap/>
        <w:overflowPunct/>
        <w:topLinePunct w:val="0"/>
        <w:autoSpaceDE/>
        <w:autoSpaceDN/>
        <w:bidi w:val="0"/>
        <w:adjustRightInd/>
        <w:snapToGrid/>
        <w:spacing w:line="520" w:lineRule="exact"/>
        <w:ind w:left="0" w:leftChars="0" w:right="0" w:rightChars="0" w:firstLine="1120" w:firstLineChars="350"/>
        <w:jc w:val="left"/>
        <w:textAlignment w:val="auto"/>
        <w:outlineLvl w:val="9"/>
        <w:rPr>
          <w:rFonts w:hint="eastAsia" w:ascii="仿宋" w:hAnsi="仿宋" w:eastAsia="仿宋" w:cs="仿宋"/>
          <w:kern w:val="2"/>
          <w:sz w:val="32"/>
          <w:szCs w:val="30"/>
          <w:lang w:eastAsia="zh-CN"/>
        </w:rPr>
      </w:pPr>
      <w:r>
        <w:rPr>
          <w:rFonts w:hint="eastAsia" w:ascii="仿宋" w:hAnsi="仿宋" w:eastAsia="仿宋" w:cs="仿宋"/>
          <w:kern w:val="2"/>
          <w:sz w:val="32"/>
          <w:szCs w:val="30"/>
          <w:lang w:eastAsia="zh-CN"/>
        </w:rPr>
        <w:t>二、机构设置及人员情况</w:t>
      </w:r>
    </w:p>
    <w:p>
      <w:pPr>
        <w:keepNext w:val="0"/>
        <w:keepLines w:val="0"/>
        <w:pageBreakBefore w:val="0"/>
        <w:kinsoku/>
        <w:wordWrap/>
        <w:overflowPunct/>
        <w:topLinePunct w:val="0"/>
        <w:autoSpaceDE/>
        <w:autoSpaceDN/>
        <w:bidi w:val="0"/>
        <w:spacing w:line="520" w:lineRule="exact"/>
        <w:ind w:firstLine="643" w:firstLineChars="200"/>
        <w:textAlignment w:val="auto"/>
        <w:rPr>
          <w:rStyle w:val="7"/>
          <w:rFonts w:hint="eastAsia" w:ascii="楷体" w:hAnsi="楷体" w:eastAsia="楷体" w:cs="楷体"/>
          <w:b/>
          <w:sz w:val="32"/>
          <w:szCs w:val="32"/>
          <w:lang w:eastAsia="zh-CN"/>
        </w:rPr>
      </w:pPr>
      <w:r>
        <w:rPr>
          <w:rStyle w:val="7"/>
          <w:rFonts w:hint="eastAsia" w:ascii="楷体" w:hAnsi="楷体" w:eastAsia="楷体" w:cs="楷体"/>
          <w:b/>
          <w:sz w:val="32"/>
          <w:szCs w:val="32"/>
          <w:lang w:eastAsia="zh-CN"/>
        </w:rPr>
        <w:t>第二部分  赣州市南康区财政公共服务中心202</w:t>
      </w:r>
      <w:r>
        <w:rPr>
          <w:rStyle w:val="7"/>
          <w:rFonts w:hint="eastAsia" w:ascii="楷体" w:hAnsi="楷体" w:eastAsia="楷体" w:cs="楷体"/>
          <w:b/>
          <w:sz w:val="32"/>
          <w:szCs w:val="32"/>
          <w:lang w:val="en-US" w:eastAsia="zh-CN"/>
        </w:rPr>
        <w:t>4</w:t>
      </w:r>
      <w:r>
        <w:rPr>
          <w:rStyle w:val="7"/>
          <w:rFonts w:hint="eastAsia" w:ascii="楷体" w:hAnsi="楷体" w:eastAsia="楷体" w:cs="楷体"/>
          <w:b/>
          <w:sz w:val="32"/>
          <w:szCs w:val="32"/>
          <w:lang w:eastAsia="zh-CN"/>
        </w:rPr>
        <w:t>年部门预算表</w:t>
      </w:r>
    </w:p>
    <w:p>
      <w:pPr>
        <w:pStyle w:val="6"/>
        <w:keepNext w:val="0"/>
        <w:keepLines w:val="0"/>
        <w:pageBreakBefore w:val="0"/>
        <w:widowControl/>
        <w:kinsoku/>
        <w:wordWrap/>
        <w:overflowPunct/>
        <w:topLinePunct w:val="0"/>
        <w:autoSpaceDE/>
        <w:autoSpaceDN/>
        <w:bidi w:val="0"/>
        <w:adjustRightInd/>
        <w:snapToGrid/>
        <w:spacing w:line="520" w:lineRule="exact"/>
        <w:ind w:left="0" w:leftChars="0" w:right="0" w:rightChars="0" w:firstLine="1120" w:firstLineChars="350"/>
        <w:jc w:val="left"/>
        <w:textAlignment w:val="auto"/>
        <w:outlineLvl w:val="9"/>
        <w:rPr>
          <w:rFonts w:hint="eastAsia" w:ascii="仿宋" w:hAnsi="仿宋" w:eastAsia="仿宋" w:cs="仿宋"/>
          <w:kern w:val="2"/>
          <w:sz w:val="32"/>
          <w:szCs w:val="30"/>
          <w:lang w:eastAsia="zh-CN"/>
        </w:rPr>
      </w:pPr>
      <w:r>
        <w:rPr>
          <w:rFonts w:hint="eastAsia" w:ascii="仿宋" w:hAnsi="仿宋" w:eastAsia="仿宋" w:cs="仿宋"/>
          <w:kern w:val="2"/>
          <w:sz w:val="32"/>
          <w:szCs w:val="30"/>
          <w:lang w:eastAsia="zh-CN"/>
        </w:rPr>
        <w:t>一、《收支预算总表》</w:t>
      </w:r>
    </w:p>
    <w:p>
      <w:pPr>
        <w:pStyle w:val="6"/>
        <w:keepNext w:val="0"/>
        <w:keepLines w:val="0"/>
        <w:pageBreakBefore w:val="0"/>
        <w:widowControl/>
        <w:kinsoku/>
        <w:wordWrap/>
        <w:overflowPunct/>
        <w:topLinePunct w:val="0"/>
        <w:autoSpaceDE/>
        <w:autoSpaceDN/>
        <w:bidi w:val="0"/>
        <w:adjustRightInd/>
        <w:snapToGrid/>
        <w:spacing w:line="520" w:lineRule="exact"/>
        <w:ind w:left="0" w:leftChars="0" w:right="0" w:rightChars="0" w:firstLine="1120" w:firstLineChars="350"/>
        <w:jc w:val="left"/>
        <w:textAlignment w:val="auto"/>
        <w:outlineLvl w:val="9"/>
        <w:rPr>
          <w:rFonts w:hint="eastAsia" w:ascii="仿宋" w:hAnsi="仿宋" w:eastAsia="仿宋" w:cs="仿宋"/>
          <w:kern w:val="2"/>
          <w:sz w:val="32"/>
          <w:szCs w:val="30"/>
          <w:lang w:eastAsia="zh-CN"/>
        </w:rPr>
      </w:pPr>
      <w:r>
        <w:rPr>
          <w:rFonts w:hint="eastAsia" w:ascii="仿宋" w:hAnsi="仿宋" w:eastAsia="仿宋" w:cs="仿宋"/>
          <w:kern w:val="2"/>
          <w:sz w:val="32"/>
          <w:szCs w:val="30"/>
          <w:lang w:eastAsia="zh-CN"/>
        </w:rPr>
        <w:t>二、《部门收入总表》</w:t>
      </w:r>
    </w:p>
    <w:p>
      <w:pPr>
        <w:pStyle w:val="6"/>
        <w:keepNext w:val="0"/>
        <w:keepLines w:val="0"/>
        <w:pageBreakBefore w:val="0"/>
        <w:widowControl/>
        <w:kinsoku/>
        <w:wordWrap/>
        <w:overflowPunct/>
        <w:topLinePunct w:val="0"/>
        <w:autoSpaceDE/>
        <w:autoSpaceDN/>
        <w:bidi w:val="0"/>
        <w:adjustRightInd/>
        <w:snapToGrid/>
        <w:spacing w:line="520" w:lineRule="exact"/>
        <w:ind w:left="0" w:leftChars="0" w:right="0" w:rightChars="0" w:firstLine="1120" w:firstLineChars="350"/>
        <w:jc w:val="left"/>
        <w:textAlignment w:val="auto"/>
        <w:outlineLvl w:val="9"/>
        <w:rPr>
          <w:rFonts w:hint="eastAsia" w:ascii="仿宋" w:hAnsi="仿宋" w:eastAsia="仿宋" w:cs="仿宋"/>
          <w:kern w:val="2"/>
          <w:sz w:val="32"/>
          <w:szCs w:val="30"/>
          <w:lang w:eastAsia="zh-CN"/>
        </w:rPr>
      </w:pPr>
      <w:r>
        <w:rPr>
          <w:rFonts w:hint="eastAsia" w:ascii="仿宋" w:hAnsi="仿宋" w:eastAsia="仿宋" w:cs="仿宋"/>
          <w:kern w:val="2"/>
          <w:sz w:val="32"/>
          <w:szCs w:val="30"/>
          <w:lang w:eastAsia="zh-CN"/>
        </w:rPr>
        <w:t>三、《部门支出总表》</w:t>
      </w:r>
    </w:p>
    <w:p>
      <w:pPr>
        <w:pStyle w:val="6"/>
        <w:keepNext w:val="0"/>
        <w:keepLines w:val="0"/>
        <w:pageBreakBefore w:val="0"/>
        <w:widowControl/>
        <w:kinsoku/>
        <w:wordWrap/>
        <w:overflowPunct/>
        <w:topLinePunct w:val="0"/>
        <w:autoSpaceDE/>
        <w:autoSpaceDN/>
        <w:bidi w:val="0"/>
        <w:adjustRightInd/>
        <w:snapToGrid/>
        <w:spacing w:line="520" w:lineRule="exact"/>
        <w:ind w:left="0" w:leftChars="0" w:right="0" w:rightChars="0" w:firstLine="1120" w:firstLineChars="350"/>
        <w:jc w:val="left"/>
        <w:textAlignment w:val="auto"/>
        <w:outlineLvl w:val="9"/>
        <w:rPr>
          <w:rFonts w:hint="eastAsia" w:ascii="仿宋" w:hAnsi="仿宋" w:eastAsia="仿宋" w:cs="仿宋"/>
          <w:kern w:val="2"/>
          <w:sz w:val="32"/>
          <w:szCs w:val="30"/>
          <w:lang w:eastAsia="zh-CN"/>
        </w:rPr>
      </w:pPr>
      <w:r>
        <w:rPr>
          <w:rFonts w:hint="eastAsia" w:ascii="仿宋" w:hAnsi="仿宋" w:eastAsia="仿宋" w:cs="仿宋"/>
          <w:kern w:val="2"/>
          <w:sz w:val="32"/>
          <w:szCs w:val="30"/>
          <w:lang w:eastAsia="zh-CN"/>
        </w:rPr>
        <w:t>四、《财政拨款收支总表》</w:t>
      </w:r>
    </w:p>
    <w:p>
      <w:pPr>
        <w:pStyle w:val="6"/>
        <w:keepNext w:val="0"/>
        <w:keepLines w:val="0"/>
        <w:pageBreakBefore w:val="0"/>
        <w:widowControl/>
        <w:kinsoku/>
        <w:wordWrap/>
        <w:overflowPunct/>
        <w:topLinePunct w:val="0"/>
        <w:autoSpaceDE/>
        <w:autoSpaceDN/>
        <w:bidi w:val="0"/>
        <w:adjustRightInd/>
        <w:snapToGrid/>
        <w:spacing w:line="520" w:lineRule="exact"/>
        <w:ind w:left="0" w:leftChars="0" w:right="0" w:rightChars="0" w:firstLine="1120" w:firstLineChars="350"/>
        <w:jc w:val="left"/>
        <w:textAlignment w:val="auto"/>
        <w:outlineLvl w:val="9"/>
        <w:rPr>
          <w:rFonts w:hint="eastAsia" w:ascii="仿宋" w:hAnsi="仿宋" w:eastAsia="仿宋" w:cs="仿宋"/>
          <w:kern w:val="2"/>
          <w:sz w:val="32"/>
          <w:szCs w:val="30"/>
          <w:lang w:eastAsia="zh-CN"/>
        </w:rPr>
      </w:pPr>
      <w:r>
        <w:rPr>
          <w:rFonts w:hint="eastAsia" w:ascii="仿宋" w:hAnsi="仿宋" w:eastAsia="仿宋" w:cs="仿宋"/>
          <w:kern w:val="2"/>
          <w:sz w:val="32"/>
          <w:szCs w:val="30"/>
          <w:lang w:eastAsia="zh-CN"/>
        </w:rPr>
        <w:t>五、《一般公共预算支出表》</w:t>
      </w:r>
    </w:p>
    <w:p>
      <w:pPr>
        <w:pStyle w:val="6"/>
        <w:keepNext w:val="0"/>
        <w:keepLines w:val="0"/>
        <w:pageBreakBefore w:val="0"/>
        <w:widowControl/>
        <w:kinsoku/>
        <w:wordWrap/>
        <w:overflowPunct/>
        <w:topLinePunct w:val="0"/>
        <w:autoSpaceDE/>
        <w:autoSpaceDN/>
        <w:bidi w:val="0"/>
        <w:adjustRightInd/>
        <w:snapToGrid/>
        <w:spacing w:line="520" w:lineRule="exact"/>
        <w:ind w:left="0" w:leftChars="0" w:right="0" w:rightChars="0" w:firstLine="1120" w:firstLineChars="350"/>
        <w:jc w:val="left"/>
        <w:textAlignment w:val="auto"/>
        <w:outlineLvl w:val="9"/>
        <w:rPr>
          <w:rFonts w:hint="eastAsia" w:ascii="仿宋" w:hAnsi="仿宋" w:eastAsia="仿宋" w:cs="仿宋"/>
          <w:kern w:val="2"/>
          <w:sz w:val="32"/>
          <w:szCs w:val="30"/>
          <w:lang w:eastAsia="zh-CN"/>
        </w:rPr>
      </w:pPr>
      <w:r>
        <w:rPr>
          <w:rFonts w:hint="eastAsia" w:ascii="仿宋" w:hAnsi="仿宋" w:eastAsia="仿宋" w:cs="仿宋"/>
          <w:kern w:val="2"/>
          <w:sz w:val="32"/>
          <w:szCs w:val="30"/>
          <w:lang w:eastAsia="zh-CN"/>
        </w:rPr>
        <w:t>六、《一般公共预算基本支出表》</w:t>
      </w:r>
    </w:p>
    <w:p>
      <w:pPr>
        <w:pStyle w:val="6"/>
        <w:keepNext w:val="0"/>
        <w:keepLines w:val="0"/>
        <w:pageBreakBefore w:val="0"/>
        <w:widowControl/>
        <w:kinsoku/>
        <w:wordWrap/>
        <w:overflowPunct/>
        <w:topLinePunct w:val="0"/>
        <w:autoSpaceDE/>
        <w:autoSpaceDN/>
        <w:bidi w:val="0"/>
        <w:adjustRightInd/>
        <w:snapToGrid/>
        <w:spacing w:line="520" w:lineRule="exact"/>
        <w:ind w:left="0" w:leftChars="0" w:right="0" w:rightChars="0" w:firstLine="1120" w:firstLineChars="350"/>
        <w:jc w:val="left"/>
        <w:textAlignment w:val="auto"/>
        <w:outlineLvl w:val="9"/>
        <w:rPr>
          <w:rFonts w:hint="eastAsia" w:ascii="仿宋" w:hAnsi="仿宋" w:eastAsia="仿宋" w:cs="仿宋"/>
          <w:kern w:val="2"/>
          <w:sz w:val="32"/>
          <w:szCs w:val="30"/>
          <w:lang w:eastAsia="zh-CN"/>
        </w:rPr>
      </w:pPr>
      <w:r>
        <w:rPr>
          <w:rFonts w:hint="eastAsia" w:ascii="仿宋" w:hAnsi="仿宋" w:eastAsia="仿宋" w:cs="仿宋"/>
          <w:kern w:val="2"/>
          <w:sz w:val="32"/>
          <w:szCs w:val="30"/>
          <w:lang w:eastAsia="zh-CN"/>
        </w:rPr>
        <w:t>七、《一般公共预算“三公”经费支出表》</w:t>
      </w:r>
    </w:p>
    <w:p>
      <w:pPr>
        <w:pStyle w:val="6"/>
        <w:keepNext w:val="0"/>
        <w:keepLines w:val="0"/>
        <w:pageBreakBefore w:val="0"/>
        <w:widowControl/>
        <w:kinsoku/>
        <w:wordWrap/>
        <w:overflowPunct/>
        <w:topLinePunct w:val="0"/>
        <w:autoSpaceDE/>
        <w:autoSpaceDN/>
        <w:bidi w:val="0"/>
        <w:adjustRightInd/>
        <w:snapToGrid/>
        <w:spacing w:line="520" w:lineRule="exact"/>
        <w:ind w:left="0" w:leftChars="0" w:right="0" w:rightChars="0" w:firstLine="1120" w:firstLineChars="350"/>
        <w:jc w:val="left"/>
        <w:textAlignment w:val="auto"/>
        <w:outlineLvl w:val="9"/>
        <w:rPr>
          <w:rFonts w:hint="eastAsia" w:ascii="仿宋" w:hAnsi="仿宋" w:eastAsia="仿宋" w:cs="仿宋"/>
          <w:kern w:val="2"/>
          <w:sz w:val="32"/>
          <w:szCs w:val="30"/>
          <w:lang w:eastAsia="zh-CN"/>
        </w:rPr>
      </w:pPr>
      <w:r>
        <w:rPr>
          <w:rFonts w:hint="eastAsia" w:ascii="仿宋" w:hAnsi="仿宋" w:eastAsia="仿宋" w:cs="仿宋"/>
          <w:kern w:val="2"/>
          <w:sz w:val="32"/>
          <w:szCs w:val="30"/>
          <w:lang w:eastAsia="zh-CN"/>
        </w:rPr>
        <w:t>八、《政府性基金预算支出表》</w:t>
      </w:r>
    </w:p>
    <w:p>
      <w:pPr>
        <w:pStyle w:val="6"/>
        <w:keepNext w:val="0"/>
        <w:keepLines w:val="0"/>
        <w:pageBreakBefore w:val="0"/>
        <w:widowControl/>
        <w:kinsoku/>
        <w:wordWrap/>
        <w:overflowPunct/>
        <w:topLinePunct w:val="0"/>
        <w:autoSpaceDE/>
        <w:autoSpaceDN/>
        <w:bidi w:val="0"/>
        <w:adjustRightInd/>
        <w:snapToGrid/>
        <w:spacing w:line="520" w:lineRule="exact"/>
        <w:ind w:left="0" w:leftChars="0" w:right="0" w:rightChars="0" w:firstLine="1120" w:firstLineChars="350"/>
        <w:jc w:val="left"/>
        <w:textAlignment w:val="auto"/>
        <w:outlineLvl w:val="9"/>
        <w:rPr>
          <w:rFonts w:hint="eastAsia" w:ascii="仿宋" w:hAnsi="仿宋" w:eastAsia="仿宋" w:cs="仿宋"/>
          <w:kern w:val="2"/>
          <w:sz w:val="32"/>
          <w:szCs w:val="30"/>
          <w:lang w:eastAsia="zh-CN"/>
        </w:rPr>
      </w:pPr>
      <w:r>
        <w:rPr>
          <w:rFonts w:hint="eastAsia" w:ascii="仿宋" w:hAnsi="仿宋" w:eastAsia="仿宋" w:cs="仿宋"/>
          <w:kern w:val="2"/>
          <w:sz w:val="32"/>
          <w:szCs w:val="30"/>
          <w:lang w:val="en-US" w:eastAsia="zh-CN"/>
        </w:rPr>
        <w:t>九</w:t>
      </w:r>
      <w:r>
        <w:rPr>
          <w:rFonts w:hint="eastAsia" w:ascii="仿宋" w:hAnsi="仿宋" w:eastAsia="仿宋" w:cs="仿宋"/>
          <w:kern w:val="2"/>
          <w:sz w:val="32"/>
          <w:szCs w:val="30"/>
          <w:lang w:eastAsia="zh-CN"/>
        </w:rPr>
        <w:t>、《国有资本经营预算支出表》</w:t>
      </w:r>
    </w:p>
    <w:p>
      <w:pPr>
        <w:pStyle w:val="6"/>
        <w:keepNext w:val="0"/>
        <w:keepLines w:val="0"/>
        <w:pageBreakBefore w:val="0"/>
        <w:widowControl/>
        <w:kinsoku/>
        <w:wordWrap/>
        <w:overflowPunct/>
        <w:topLinePunct w:val="0"/>
        <w:autoSpaceDE/>
        <w:autoSpaceDN/>
        <w:bidi w:val="0"/>
        <w:adjustRightInd/>
        <w:snapToGrid/>
        <w:spacing w:line="520" w:lineRule="exact"/>
        <w:ind w:left="0" w:leftChars="0" w:right="0" w:rightChars="0" w:firstLine="1120" w:firstLineChars="350"/>
        <w:jc w:val="left"/>
        <w:textAlignment w:val="auto"/>
        <w:outlineLvl w:val="9"/>
        <w:rPr>
          <w:rFonts w:ascii="Adobe 仿宋 Std R" w:hAnsi="Adobe 仿宋 Std R" w:eastAsia="Adobe 仿宋 Std R" w:cs="黑体"/>
          <w:kern w:val="2"/>
          <w:sz w:val="32"/>
          <w:szCs w:val="30"/>
        </w:rPr>
      </w:pPr>
      <w:r>
        <w:rPr>
          <w:rFonts w:hint="eastAsia" w:ascii="仿宋" w:hAnsi="仿宋" w:eastAsia="仿宋" w:cs="仿宋"/>
          <w:kern w:val="2"/>
          <w:sz w:val="32"/>
          <w:szCs w:val="30"/>
          <w:lang w:eastAsia="zh-CN"/>
        </w:rPr>
        <w:t>十、《重点项目绩效目标表》</w:t>
      </w:r>
    </w:p>
    <w:p>
      <w:pPr>
        <w:keepNext w:val="0"/>
        <w:keepLines w:val="0"/>
        <w:pageBreakBefore w:val="0"/>
        <w:kinsoku/>
        <w:wordWrap/>
        <w:overflowPunct/>
        <w:topLinePunct w:val="0"/>
        <w:autoSpaceDE/>
        <w:autoSpaceDN/>
        <w:bidi w:val="0"/>
        <w:spacing w:line="520" w:lineRule="exact"/>
        <w:ind w:firstLine="643" w:firstLineChars="200"/>
        <w:textAlignment w:val="auto"/>
        <w:rPr>
          <w:rStyle w:val="7"/>
          <w:rFonts w:hint="eastAsia" w:ascii="楷体" w:hAnsi="楷体" w:eastAsia="楷体" w:cs="楷体"/>
          <w:b/>
          <w:sz w:val="32"/>
          <w:szCs w:val="32"/>
          <w:lang w:eastAsia="zh-CN"/>
        </w:rPr>
      </w:pPr>
      <w:r>
        <w:rPr>
          <w:rStyle w:val="7"/>
          <w:rFonts w:hint="eastAsia" w:ascii="楷体" w:hAnsi="楷体" w:eastAsia="楷体" w:cs="楷体"/>
          <w:b/>
          <w:sz w:val="32"/>
          <w:szCs w:val="32"/>
          <w:lang w:eastAsia="zh-CN"/>
        </w:rPr>
        <w:t>第三部分 赣州市南康区财政公共服务中心202</w:t>
      </w:r>
      <w:r>
        <w:rPr>
          <w:rStyle w:val="7"/>
          <w:rFonts w:hint="eastAsia" w:ascii="楷体" w:hAnsi="楷体" w:eastAsia="楷体" w:cs="楷体"/>
          <w:b/>
          <w:sz w:val="32"/>
          <w:szCs w:val="32"/>
          <w:lang w:val="en-US" w:eastAsia="zh-CN"/>
        </w:rPr>
        <w:t>4</w:t>
      </w:r>
      <w:r>
        <w:rPr>
          <w:rStyle w:val="7"/>
          <w:rFonts w:hint="eastAsia" w:ascii="楷体" w:hAnsi="楷体" w:eastAsia="楷体" w:cs="楷体"/>
          <w:b/>
          <w:sz w:val="32"/>
          <w:szCs w:val="32"/>
          <w:lang w:eastAsia="zh-CN"/>
        </w:rPr>
        <w:t>年部门预算情况说明</w:t>
      </w:r>
    </w:p>
    <w:p>
      <w:pPr>
        <w:pStyle w:val="6"/>
        <w:keepNext w:val="0"/>
        <w:keepLines w:val="0"/>
        <w:pageBreakBefore w:val="0"/>
        <w:widowControl/>
        <w:kinsoku/>
        <w:wordWrap/>
        <w:overflowPunct/>
        <w:topLinePunct w:val="0"/>
        <w:autoSpaceDE/>
        <w:autoSpaceDN/>
        <w:bidi w:val="0"/>
        <w:adjustRightInd/>
        <w:snapToGrid/>
        <w:spacing w:line="520" w:lineRule="exact"/>
        <w:ind w:left="0" w:leftChars="0" w:right="0" w:rightChars="0" w:firstLine="1120" w:firstLineChars="350"/>
        <w:jc w:val="left"/>
        <w:textAlignment w:val="auto"/>
        <w:outlineLvl w:val="9"/>
        <w:rPr>
          <w:rFonts w:hint="eastAsia" w:ascii="仿宋" w:hAnsi="仿宋" w:eastAsia="仿宋" w:cs="仿宋"/>
          <w:kern w:val="2"/>
          <w:sz w:val="32"/>
          <w:szCs w:val="30"/>
          <w:lang w:eastAsia="zh-CN"/>
        </w:rPr>
      </w:pPr>
      <w:r>
        <w:rPr>
          <w:rFonts w:hint="eastAsia" w:ascii="仿宋" w:hAnsi="仿宋" w:eastAsia="仿宋" w:cs="仿宋"/>
          <w:kern w:val="2"/>
          <w:sz w:val="32"/>
          <w:szCs w:val="30"/>
          <w:lang w:eastAsia="zh-CN"/>
        </w:rPr>
        <w:t>一、202</w:t>
      </w:r>
      <w:r>
        <w:rPr>
          <w:rFonts w:hint="eastAsia" w:ascii="仿宋" w:hAnsi="仿宋" w:eastAsia="仿宋" w:cs="仿宋"/>
          <w:kern w:val="2"/>
          <w:sz w:val="32"/>
          <w:szCs w:val="30"/>
          <w:lang w:val="en-US" w:eastAsia="zh-CN"/>
        </w:rPr>
        <w:t>4</w:t>
      </w:r>
      <w:r>
        <w:rPr>
          <w:rFonts w:hint="eastAsia" w:ascii="仿宋" w:hAnsi="仿宋" w:eastAsia="仿宋" w:cs="仿宋"/>
          <w:kern w:val="2"/>
          <w:sz w:val="32"/>
          <w:szCs w:val="30"/>
          <w:lang w:eastAsia="zh-CN"/>
        </w:rPr>
        <w:t>年部门预算收支情况说明</w:t>
      </w:r>
    </w:p>
    <w:p>
      <w:pPr>
        <w:pStyle w:val="6"/>
        <w:keepNext w:val="0"/>
        <w:keepLines w:val="0"/>
        <w:pageBreakBefore w:val="0"/>
        <w:widowControl/>
        <w:kinsoku/>
        <w:wordWrap/>
        <w:overflowPunct/>
        <w:topLinePunct w:val="0"/>
        <w:autoSpaceDE/>
        <w:autoSpaceDN/>
        <w:bidi w:val="0"/>
        <w:adjustRightInd/>
        <w:snapToGrid/>
        <w:spacing w:line="520" w:lineRule="exact"/>
        <w:ind w:left="0" w:leftChars="0" w:right="0" w:rightChars="0" w:firstLine="1120" w:firstLineChars="350"/>
        <w:jc w:val="left"/>
        <w:textAlignment w:val="auto"/>
        <w:outlineLvl w:val="9"/>
        <w:rPr>
          <w:rFonts w:hint="eastAsia" w:ascii="仿宋" w:hAnsi="仿宋" w:eastAsia="仿宋" w:cs="仿宋"/>
          <w:kern w:val="2"/>
          <w:sz w:val="32"/>
          <w:szCs w:val="30"/>
          <w:lang w:eastAsia="zh-CN"/>
        </w:rPr>
      </w:pPr>
      <w:r>
        <w:rPr>
          <w:rFonts w:hint="eastAsia" w:ascii="仿宋" w:hAnsi="仿宋" w:eastAsia="仿宋" w:cs="仿宋"/>
          <w:kern w:val="2"/>
          <w:sz w:val="32"/>
          <w:szCs w:val="30"/>
          <w:lang w:eastAsia="zh-CN"/>
        </w:rPr>
        <w:t>二、202</w:t>
      </w:r>
      <w:r>
        <w:rPr>
          <w:rFonts w:hint="eastAsia" w:ascii="仿宋" w:hAnsi="仿宋" w:eastAsia="仿宋" w:cs="仿宋"/>
          <w:kern w:val="2"/>
          <w:sz w:val="32"/>
          <w:szCs w:val="30"/>
          <w:lang w:val="en-US" w:eastAsia="zh-CN"/>
        </w:rPr>
        <w:t>4</w:t>
      </w:r>
      <w:r>
        <w:rPr>
          <w:rFonts w:hint="eastAsia" w:ascii="仿宋" w:hAnsi="仿宋" w:eastAsia="仿宋" w:cs="仿宋"/>
          <w:kern w:val="2"/>
          <w:sz w:val="32"/>
          <w:szCs w:val="30"/>
          <w:lang w:eastAsia="zh-CN"/>
        </w:rPr>
        <w:t>年“三公”经费预算情况说明</w:t>
      </w:r>
    </w:p>
    <w:p>
      <w:pPr>
        <w:keepNext w:val="0"/>
        <w:keepLines w:val="0"/>
        <w:pageBreakBefore w:val="0"/>
        <w:numPr>
          <w:ilvl w:val="0"/>
          <w:numId w:val="1"/>
        </w:numPr>
        <w:kinsoku/>
        <w:wordWrap/>
        <w:overflowPunct/>
        <w:topLinePunct w:val="0"/>
        <w:autoSpaceDE/>
        <w:autoSpaceDN/>
        <w:bidi w:val="0"/>
        <w:spacing w:line="520" w:lineRule="exact"/>
        <w:ind w:firstLine="643" w:firstLineChars="200"/>
        <w:textAlignment w:val="auto"/>
        <w:rPr>
          <w:rStyle w:val="7"/>
          <w:rFonts w:hint="eastAsia" w:ascii="楷体" w:hAnsi="楷体" w:eastAsia="楷体" w:cs="楷体"/>
          <w:b/>
          <w:sz w:val="32"/>
          <w:szCs w:val="32"/>
          <w:lang w:eastAsia="zh-CN"/>
        </w:rPr>
      </w:pPr>
      <w:r>
        <w:rPr>
          <w:rStyle w:val="7"/>
          <w:rFonts w:hint="eastAsia" w:ascii="楷体" w:hAnsi="楷体" w:eastAsia="楷体" w:cs="楷体"/>
          <w:b/>
          <w:sz w:val="32"/>
          <w:szCs w:val="32"/>
          <w:lang w:eastAsia="zh-CN"/>
        </w:rPr>
        <w:t xml:space="preserve"> 名词解释</w:t>
      </w:r>
    </w:p>
    <w:p>
      <w:pPr>
        <w:keepNext w:val="0"/>
        <w:keepLines w:val="0"/>
        <w:pageBreakBefore w:val="0"/>
        <w:numPr>
          <w:ilvl w:val="0"/>
          <w:numId w:val="0"/>
        </w:numPr>
        <w:kinsoku/>
        <w:wordWrap/>
        <w:overflowPunct/>
        <w:topLinePunct w:val="0"/>
        <w:autoSpaceDE/>
        <w:autoSpaceDN/>
        <w:bidi w:val="0"/>
        <w:spacing w:line="520" w:lineRule="exact"/>
        <w:textAlignment w:val="auto"/>
        <w:rPr>
          <w:rStyle w:val="7"/>
          <w:rFonts w:hint="eastAsia" w:ascii="楷体" w:hAnsi="楷体" w:eastAsia="楷体" w:cs="楷体"/>
          <w:b/>
          <w:sz w:val="32"/>
          <w:szCs w:val="32"/>
          <w:lang w:eastAsia="zh-CN"/>
        </w:rPr>
      </w:pPr>
    </w:p>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0"/>
        </w:rPr>
        <w:t xml:space="preserve">第一部分  </w:t>
      </w:r>
      <w:r>
        <w:rPr>
          <w:rFonts w:hint="eastAsia" w:ascii="黑体" w:hAnsi="黑体" w:eastAsia="黑体" w:cs="黑体"/>
          <w:b w:val="0"/>
          <w:bCs/>
          <w:sz w:val="32"/>
          <w:szCs w:val="32"/>
        </w:rPr>
        <w:t>赣州市南康区</w:t>
      </w:r>
      <w:r>
        <w:rPr>
          <w:rFonts w:hint="eastAsia" w:ascii="黑体" w:hAnsi="黑体" w:eastAsia="黑体" w:cs="黑体"/>
          <w:b w:val="0"/>
          <w:bCs/>
          <w:sz w:val="32"/>
          <w:szCs w:val="32"/>
          <w:lang w:eastAsia="zh-CN"/>
        </w:rPr>
        <w:t>财政公共服务中心</w:t>
      </w:r>
      <w:r>
        <w:rPr>
          <w:rFonts w:hint="eastAsia" w:ascii="黑体" w:hAnsi="黑体" w:eastAsia="黑体" w:cs="黑体"/>
          <w:b w:val="0"/>
          <w:bCs/>
          <w:sz w:val="32"/>
          <w:szCs w:val="30"/>
        </w:rPr>
        <w:t>概况</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rPr>
        <w:t>一、部门主要职责</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kern w:val="2"/>
          <w:sz w:val="32"/>
          <w:szCs w:val="30"/>
          <w:lang w:eastAsia="zh-CN"/>
        </w:rPr>
      </w:pPr>
      <w:r>
        <w:rPr>
          <w:rFonts w:hint="eastAsia" w:ascii="仿宋" w:hAnsi="仿宋" w:eastAsia="仿宋" w:cs="仿宋"/>
          <w:kern w:val="2"/>
          <w:sz w:val="32"/>
          <w:szCs w:val="30"/>
          <w:lang w:eastAsia="zh-CN"/>
        </w:rPr>
        <w:t>赣州市南康区财政公共服务中心是主管财政工作的区政府组成部门。主要职责是：</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kern w:val="2"/>
          <w:sz w:val="32"/>
          <w:szCs w:val="30"/>
          <w:lang w:eastAsia="zh-CN"/>
        </w:rPr>
      </w:pPr>
      <w:r>
        <w:rPr>
          <w:rFonts w:hint="eastAsia" w:ascii="仿宋" w:hAnsi="仿宋" w:eastAsia="仿宋" w:cs="仿宋"/>
          <w:kern w:val="2"/>
          <w:sz w:val="32"/>
          <w:szCs w:val="30"/>
          <w:lang w:eastAsia="zh-CN"/>
        </w:rPr>
        <w:t>(一)区本级财政预算资金的支付和核算，全区财政纸质票据发放和核销及电子票据相关服务性工作，区直部门预算绩效财政评价等环节的服务性工作。</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kern w:val="2"/>
          <w:sz w:val="32"/>
          <w:szCs w:val="30"/>
          <w:lang w:eastAsia="zh-CN"/>
        </w:rPr>
      </w:pPr>
      <w:r>
        <w:rPr>
          <w:rFonts w:hint="eastAsia" w:ascii="仿宋" w:hAnsi="仿宋" w:eastAsia="仿宋" w:cs="仿宋"/>
          <w:kern w:val="2"/>
          <w:sz w:val="32"/>
          <w:szCs w:val="30"/>
          <w:lang w:eastAsia="zh-CN"/>
        </w:rPr>
        <w:t>(二)全区各乡镇财政的指导和服务性工作。</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kern w:val="2"/>
          <w:sz w:val="32"/>
          <w:szCs w:val="30"/>
          <w:lang w:eastAsia="zh-CN"/>
        </w:rPr>
      </w:pPr>
      <w:r>
        <w:rPr>
          <w:rFonts w:hint="eastAsia" w:ascii="仿宋" w:hAnsi="仿宋" w:eastAsia="仿宋" w:cs="仿宋"/>
          <w:kern w:val="2"/>
          <w:sz w:val="32"/>
          <w:szCs w:val="30"/>
          <w:lang w:eastAsia="zh-CN"/>
        </w:rPr>
        <w:t>(三)全区财政投资工程项目预算、决算和资金使用评审服务性工作。</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kern w:val="2"/>
          <w:sz w:val="32"/>
          <w:szCs w:val="30"/>
          <w:lang w:eastAsia="zh-CN"/>
        </w:rPr>
      </w:pPr>
      <w:r>
        <w:rPr>
          <w:rFonts w:hint="eastAsia" w:ascii="仿宋" w:hAnsi="仿宋" w:eastAsia="仿宋" w:cs="仿宋"/>
          <w:kern w:val="2"/>
          <w:sz w:val="32"/>
          <w:szCs w:val="30"/>
          <w:lang w:eastAsia="zh-CN"/>
        </w:rPr>
        <w:t>(四)参与政府购买服务政策和制度的拟定，政府购买服务信息的统计和分析等职责。</w:t>
      </w:r>
    </w:p>
    <w:p>
      <w:pPr>
        <w:keepNext w:val="0"/>
        <w:keepLines w:val="0"/>
        <w:pageBreakBefore w:val="0"/>
        <w:widowControl/>
        <w:kinsoku/>
        <w:wordWrap/>
        <w:overflowPunct/>
        <w:topLinePunct w:val="0"/>
        <w:autoSpaceDE/>
        <w:autoSpaceDN/>
        <w:bidi w:val="0"/>
        <w:spacing w:line="520" w:lineRule="exact"/>
        <w:ind w:firstLine="640" w:firstLineChars="200"/>
        <w:jc w:val="left"/>
        <w:textAlignment w:val="auto"/>
        <w:rPr>
          <w:rFonts w:hint="eastAsia" w:ascii="黑体" w:hAnsi="黑体" w:eastAsia="黑体" w:cs="黑体"/>
          <w:b w:val="0"/>
          <w:bCs/>
          <w:sz w:val="32"/>
          <w:szCs w:val="30"/>
        </w:rPr>
      </w:pPr>
      <w:r>
        <w:rPr>
          <w:rFonts w:hint="eastAsia" w:ascii="黑体" w:hAnsi="黑体" w:eastAsia="黑体" w:cs="黑体"/>
          <w:b w:val="0"/>
          <w:bCs/>
          <w:sz w:val="32"/>
          <w:szCs w:val="30"/>
        </w:rPr>
        <w:t>二、机构设置及人员情况</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default" w:ascii="仿宋" w:hAnsi="仿宋" w:eastAsia="仿宋" w:cs="仿宋"/>
          <w:kern w:val="2"/>
          <w:sz w:val="32"/>
          <w:szCs w:val="30"/>
          <w:lang w:val="en-US" w:eastAsia="zh-CN"/>
        </w:rPr>
      </w:pPr>
      <w:r>
        <w:rPr>
          <w:rFonts w:hint="eastAsia" w:ascii="仿宋" w:hAnsi="仿宋" w:eastAsia="仿宋" w:cs="仿宋"/>
          <w:kern w:val="2"/>
          <w:sz w:val="32"/>
          <w:szCs w:val="30"/>
          <w:lang w:val="en-US" w:eastAsia="zh-CN"/>
        </w:rPr>
        <w:t>2024年赣州市南康区财政公共服务中心共有下属预算单位1个，包括：赣州市南康区财政公共服务中心。</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kern w:val="2"/>
          <w:sz w:val="32"/>
          <w:szCs w:val="30"/>
          <w:lang w:eastAsia="zh-CN"/>
        </w:rPr>
      </w:pPr>
      <w:r>
        <w:rPr>
          <w:rFonts w:hint="eastAsia" w:ascii="仿宋" w:hAnsi="仿宋" w:eastAsia="仿宋" w:cs="仿宋"/>
          <w:kern w:val="2"/>
          <w:sz w:val="32"/>
          <w:szCs w:val="30"/>
          <w:lang w:eastAsia="zh-CN"/>
        </w:rPr>
        <w:t>2024年赣州市南康区财政公共服务中心内设处室8个，包括：预算评审股、结算评审股、资金评审股、重财办、非税收入股、票据股、乡财股、支付股。</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黑体" w:hAnsi="黑体" w:eastAsia="黑体" w:cs="黑体"/>
          <w:b w:val="0"/>
          <w:bCs/>
          <w:sz w:val="32"/>
          <w:szCs w:val="30"/>
        </w:rPr>
      </w:pPr>
      <w:r>
        <w:rPr>
          <w:rFonts w:hint="eastAsia" w:ascii="仿宋" w:hAnsi="仿宋" w:eastAsia="仿宋" w:cs="仿宋"/>
          <w:kern w:val="2"/>
          <w:sz w:val="32"/>
          <w:szCs w:val="30"/>
          <w:lang w:eastAsia="zh-CN"/>
        </w:rPr>
        <w:t>本单位编制人数小计104人，其中：行政编制人数0人，参照公务员管理的事业编制人数0人，全额补助事业编制人数104人，自收自支编制人数0人。本单位实有人数小计106人，其中：在职人数小计99人，行政在职人数0人，参照公务员管理的事业单位在职人数0人，全额补助事业在职人数99人。离休人数0人，退休人数7人，退职人数0人，遗属人数2人。</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center"/>
        <w:textAlignment w:val="auto"/>
        <w:rPr>
          <w:rFonts w:hint="eastAsia" w:ascii="黑体" w:hAnsi="黑体" w:eastAsia="黑体" w:cs="黑体"/>
          <w:b w:val="0"/>
          <w:bCs/>
          <w:sz w:val="32"/>
          <w:szCs w:val="30"/>
        </w:rPr>
      </w:pP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center"/>
        <w:textAlignment w:val="auto"/>
        <w:rPr>
          <w:rFonts w:hint="eastAsia" w:ascii="黑体" w:hAnsi="黑体" w:eastAsia="黑体" w:cs="黑体"/>
          <w:b w:val="0"/>
          <w:bCs/>
          <w:sz w:val="32"/>
          <w:szCs w:val="30"/>
          <w:lang w:eastAsia="zh-CN"/>
        </w:rPr>
      </w:pPr>
      <w:r>
        <w:rPr>
          <w:rFonts w:hint="eastAsia" w:ascii="黑体" w:hAnsi="黑体" w:eastAsia="黑体" w:cs="黑体"/>
          <w:b w:val="0"/>
          <w:bCs/>
          <w:sz w:val="32"/>
          <w:szCs w:val="30"/>
        </w:rPr>
        <w:t xml:space="preserve">第二部分  </w:t>
      </w:r>
      <w:r>
        <w:rPr>
          <w:rFonts w:hint="eastAsia" w:ascii="黑体" w:hAnsi="黑体" w:eastAsia="黑体" w:cs="黑体"/>
          <w:b w:val="0"/>
          <w:bCs/>
          <w:sz w:val="32"/>
          <w:szCs w:val="32"/>
        </w:rPr>
        <w:t>赣州市南康区</w:t>
      </w:r>
      <w:r>
        <w:rPr>
          <w:rFonts w:hint="eastAsia" w:ascii="黑体" w:hAnsi="黑体" w:eastAsia="黑体" w:cs="黑体"/>
          <w:b w:val="0"/>
          <w:bCs/>
          <w:sz w:val="32"/>
          <w:szCs w:val="32"/>
          <w:lang w:eastAsia="zh-CN"/>
        </w:rPr>
        <w:t>财政公共服务中心</w:t>
      </w:r>
      <w:r>
        <w:rPr>
          <w:rFonts w:hint="eastAsia" w:ascii="黑体" w:hAnsi="黑体" w:eastAsia="黑体" w:cs="黑体"/>
          <w:b w:val="0"/>
          <w:bCs/>
          <w:sz w:val="32"/>
          <w:szCs w:val="30"/>
          <w:lang w:val="en-US" w:eastAsia="zh-CN"/>
        </w:rPr>
        <w:t>2024</w:t>
      </w:r>
      <w:r>
        <w:rPr>
          <w:rFonts w:hint="eastAsia" w:ascii="黑体" w:hAnsi="黑体" w:eastAsia="黑体" w:cs="黑体"/>
          <w:b w:val="0"/>
          <w:bCs/>
          <w:sz w:val="32"/>
          <w:szCs w:val="30"/>
        </w:rPr>
        <w:t>年</w:t>
      </w:r>
      <w:r>
        <w:rPr>
          <w:rFonts w:hint="eastAsia" w:ascii="黑体" w:hAnsi="黑体" w:eastAsia="黑体" w:cs="黑体"/>
          <w:b w:val="0"/>
          <w:bCs/>
          <w:sz w:val="32"/>
          <w:szCs w:val="30"/>
          <w:lang w:eastAsia="zh-CN"/>
        </w:rPr>
        <w:t>部门预算表</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仿宋" w:hAnsi="仿宋" w:eastAsia="仿宋" w:cs="仿宋"/>
          <w:kern w:val="2"/>
          <w:sz w:val="32"/>
          <w:szCs w:val="30"/>
          <w:lang w:val="en-US" w:eastAsia="zh-CN" w:bidi="ar-SA"/>
        </w:rPr>
      </w:pP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仿宋" w:hAnsi="仿宋" w:eastAsia="仿宋" w:cs="仿宋"/>
          <w:color w:val="FF0000"/>
          <w:kern w:val="2"/>
          <w:sz w:val="32"/>
          <w:szCs w:val="30"/>
          <w:lang w:val="en-US" w:eastAsia="zh-CN" w:bidi="ar-SA"/>
        </w:rPr>
      </w:pPr>
      <w:r>
        <w:rPr>
          <w:rFonts w:hint="eastAsia" w:ascii="仿宋" w:hAnsi="仿宋" w:eastAsia="仿宋" w:cs="仿宋"/>
          <w:kern w:val="2"/>
          <w:sz w:val="32"/>
          <w:szCs w:val="30"/>
          <w:lang w:val="en-US" w:eastAsia="zh-CN" w:bidi="ar-SA"/>
        </w:rPr>
        <w:t>（详见附表）</w:t>
      </w:r>
    </w:p>
    <w:p>
      <w:pPr>
        <w:keepNext w:val="0"/>
        <w:keepLines w:val="0"/>
        <w:pageBreakBefore w:val="0"/>
        <w:widowControl/>
        <w:kinsoku/>
        <w:wordWrap/>
        <w:overflowPunct/>
        <w:topLinePunct w:val="0"/>
        <w:autoSpaceDE/>
        <w:autoSpaceDN/>
        <w:bidi w:val="0"/>
        <w:spacing w:line="520" w:lineRule="exact"/>
        <w:jc w:val="center"/>
        <w:textAlignment w:val="auto"/>
        <w:rPr>
          <w:rFonts w:hint="eastAsia" w:ascii="仿宋_GB2312" w:hAnsi="Calibri" w:eastAsia="仿宋_GB2312" w:cs="宋体"/>
          <w:b/>
          <w:kern w:val="0"/>
          <w:sz w:val="32"/>
          <w:szCs w:val="32"/>
        </w:rPr>
      </w:pPr>
    </w:p>
    <w:p>
      <w:pPr>
        <w:keepNext w:val="0"/>
        <w:keepLines w:val="0"/>
        <w:pageBreakBefore w:val="0"/>
        <w:kinsoku/>
        <w:wordWrap/>
        <w:overflowPunct/>
        <w:topLinePunct w:val="0"/>
        <w:autoSpaceDE/>
        <w:autoSpaceDN/>
        <w:bidi w:val="0"/>
        <w:adjustRightInd w:val="0"/>
        <w:snapToGrid w:val="0"/>
        <w:spacing w:line="520" w:lineRule="exact"/>
        <w:jc w:val="both"/>
        <w:textAlignment w:val="auto"/>
        <w:rPr>
          <w:rFonts w:hint="eastAsia" w:ascii="黑体" w:hAnsi="黑体" w:eastAsia="黑体" w:cs="黑体"/>
          <w:b w:val="0"/>
          <w:bCs/>
          <w:sz w:val="32"/>
          <w:szCs w:val="30"/>
        </w:rPr>
      </w:pPr>
      <w:r>
        <w:rPr>
          <w:rFonts w:hint="eastAsia" w:ascii="黑体" w:hAnsi="黑体" w:eastAsia="黑体" w:cs="黑体"/>
          <w:b w:val="0"/>
          <w:bCs/>
          <w:sz w:val="32"/>
          <w:szCs w:val="30"/>
        </w:rPr>
        <w:t xml:space="preserve">第三部分  </w:t>
      </w:r>
      <w:r>
        <w:rPr>
          <w:rFonts w:hint="eastAsia" w:ascii="黑体" w:hAnsi="黑体" w:eastAsia="黑体" w:cs="黑体"/>
          <w:b w:val="0"/>
          <w:bCs/>
          <w:sz w:val="32"/>
          <w:szCs w:val="32"/>
        </w:rPr>
        <w:t>赣州市南康区</w:t>
      </w:r>
      <w:r>
        <w:rPr>
          <w:rFonts w:hint="eastAsia" w:ascii="黑体" w:hAnsi="黑体" w:eastAsia="黑体" w:cs="黑体"/>
          <w:b w:val="0"/>
          <w:bCs/>
          <w:sz w:val="32"/>
          <w:szCs w:val="32"/>
          <w:lang w:eastAsia="zh-CN"/>
        </w:rPr>
        <w:t>财政公共服务中心</w:t>
      </w:r>
      <w:r>
        <w:rPr>
          <w:rFonts w:hint="eastAsia" w:ascii="黑体" w:hAnsi="黑体" w:eastAsia="黑体" w:cs="黑体"/>
          <w:b w:val="0"/>
          <w:bCs/>
          <w:sz w:val="32"/>
          <w:szCs w:val="30"/>
          <w:lang w:eastAsia="zh-CN"/>
        </w:rPr>
        <w:t>202</w:t>
      </w:r>
      <w:r>
        <w:rPr>
          <w:rFonts w:hint="eastAsia" w:ascii="黑体" w:hAnsi="黑体" w:eastAsia="黑体" w:cs="黑体"/>
          <w:b w:val="0"/>
          <w:bCs/>
          <w:sz w:val="32"/>
          <w:szCs w:val="30"/>
          <w:lang w:val="en-US" w:eastAsia="zh-CN"/>
        </w:rPr>
        <w:t>4</w:t>
      </w:r>
      <w:r>
        <w:rPr>
          <w:rFonts w:hint="eastAsia" w:ascii="黑体" w:hAnsi="黑体" w:eastAsia="黑体" w:cs="黑体"/>
          <w:b w:val="0"/>
          <w:bCs/>
          <w:sz w:val="32"/>
          <w:szCs w:val="30"/>
        </w:rPr>
        <w:t>年部门预算情况说明</w:t>
      </w:r>
    </w:p>
    <w:p>
      <w:pPr>
        <w:keepNext w:val="0"/>
        <w:keepLines w:val="0"/>
        <w:pageBreakBefore w:val="0"/>
        <w:widowControl/>
        <w:kinsoku/>
        <w:wordWrap/>
        <w:overflowPunct/>
        <w:topLinePunct w:val="0"/>
        <w:autoSpaceDE/>
        <w:autoSpaceDN/>
        <w:bidi w:val="0"/>
        <w:spacing w:line="520" w:lineRule="exact"/>
        <w:jc w:val="center"/>
        <w:textAlignment w:val="auto"/>
        <w:rPr>
          <w:rFonts w:ascii="仿宋_GB2312" w:eastAsia="仿宋_GB2312"/>
          <w:b/>
          <w:sz w:val="32"/>
          <w:szCs w:val="30"/>
        </w:rPr>
      </w:pPr>
    </w:p>
    <w:p>
      <w:pPr>
        <w:keepNext w:val="0"/>
        <w:keepLines w:val="0"/>
        <w:pageBreakBefore w:val="0"/>
        <w:widowControl/>
        <w:kinsoku/>
        <w:wordWrap/>
        <w:overflowPunct/>
        <w:topLinePunct w:val="0"/>
        <w:autoSpaceDE/>
        <w:autoSpaceDN/>
        <w:bidi w:val="0"/>
        <w:spacing w:line="520" w:lineRule="exact"/>
        <w:ind w:firstLine="640" w:firstLineChars="200"/>
        <w:jc w:val="left"/>
        <w:textAlignment w:val="auto"/>
        <w:rPr>
          <w:rFonts w:hint="eastAsia" w:ascii="黑体" w:hAnsi="黑体" w:eastAsia="黑体" w:cs="黑体"/>
          <w:b w:val="0"/>
          <w:bCs/>
          <w:sz w:val="32"/>
          <w:szCs w:val="30"/>
        </w:rPr>
      </w:pPr>
      <w:r>
        <w:rPr>
          <w:rFonts w:hint="eastAsia" w:ascii="黑体" w:hAnsi="黑体" w:eastAsia="黑体" w:cs="黑体"/>
          <w:b w:val="0"/>
          <w:bCs/>
          <w:sz w:val="32"/>
          <w:szCs w:val="30"/>
        </w:rPr>
        <w:t>一、</w:t>
      </w:r>
      <w:r>
        <w:rPr>
          <w:rFonts w:hint="eastAsia" w:ascii="黑体" w:hAnsi="黑体" w:eastAsia="黑体" w:cs="黑体"/>
          <w:b w:val="0"/>
          <w:bCs/>
          <w:sz w:val="32"/>
          <w:szCs w:val="30"/>
          <w:lang w:eastAsia="zh-CN"/>
        </w:rPr>
        <w:t>202</w:t>
      </w:r>
      <w:r>
        <w:rPr>
          <w:rFonts w:hint="eastAsia" w:ascii="黑体" w:hAnsi="黑体" w:eastAsia="黑体" w:cs="黑体"/>
          <w:b w:val="0"/>
          <w:bCs/>
          <w:sz w:val="32"/>
          <w:szCs w:val="30"/>
          <w:lang w:val="en-US" w:eastAsia="zh-CN"/>
        </w:rPr>
        <w:t>4</w:t>
      </w:r>
      <w:r>
        <w:rPr>
          <w:rFonts w:hint="eastAsia" w:ascii="黑体" w:hAnsi="黑体" w:eastAsia="黑体" w:cs="黑体"/>
          <w:b w:val="0"/>
          <w:bCs/>
          <w:sz w:val="32"/>
          <w:szCs w:val="30"/>
        </w:rPr>
        <w:t>年部门预算收支情况说明</w:t>
      </w:r>
    </w:p>
    <w:p>
      <w:pPr>
        <w:keepNext w:val="0"/>
        <w:keepLines w:val="0"/>
        <w:pageBreakBefore w:val="0"/>
        <w:kinsoku/>
        <w:wordWrap/>
        <w:overflowPunct/>
        <w:topLinePunct w:val="0"/>
        <w:autoSpaceDE/>
        <w:autoSpaceDN/>
        <w:bidi w:val="0"/>
        <w:spacing w:line="520" w:lineRule="exact"/>
        <w:ind w:firstLine="643" w:firstLineChars="200"/>
        <w:textAlignment w:val="auto"/>
        <w:rPr>
          <w:rStyle w:val="7"/>
          <w:rFonts w:hint="eastAsia" w:ascii="楷体_GB2312" w:hAnsi="楷体_GB2312" w:eastAsia="楷体_GB2312" w:cs="楷体_GB2312"/>
          <w:b/>
          <w:bCs w:val="0"/>
          <w:color w:val="FF0000"/>
          <w:sz w:val="32"/>
          <w:szCs w:val="32"/>
          <w:lang w:eastAsia="zh-CN"/>
        </w:rPr>
      </w:pPr>
      <w:r>
        <w:rPr>
          <w:rStyle w:val="7"/>
          <w:rFonts w:hint="eastAsia" w:ascii="楷体" w:hAnsi="楷体" w:eastAsia="楷体" w:cs="楷体"/>
          <w:b/>
          <w:sz w:val="32"/>
          <w:szCs w:val="32"/>
        </w:rPr>
        <w:t>（</w:t>
      </w:r>
      <w:r>
        <w:rPr>
          <w:rStyle w:val="7"/>
          <w:rFonts w:hint="eastAsia" w:ascii="楷体" w:hAnsi="楷体" w:eastAsia="楷体" w:cs="楷体"/>
          <w:b/>
          <w:sz w:val="32"/>
          <w:szCs w:val="32"/>
          <w:lang w:eastAsia="zh-CN"/>
        </w:rPr>
        <w:t>一</w:t>
      </w:r>
      <w:r>
        <w:rPr>
          <w:rStyle w:val="7"/>
          <w:rFonts w:hint="eastAsia" w:ascii="楷体" w:hAnsi="楷体" w:eastAsia="楷体" w:cs="楷体"/>
          <w:b/>
          <w:sz w:val="32"/>
          <w:szCs w:val="32"/>
        </w:rPr>
        <w:t>）收入预算情况</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
          <w:kern w:val="2"/>
          <w:sz w:val="32"/>
          <w:szCs w:val="30"/>
          <w:lang w:val="en-US" w:eastAsia="zh-CN" w:bidi="ar-SA"/>
        </w:rPr>
      </w:pPr>
      <w:r>
        <w:rPr>
          <w:rFonts w:hint="eastAsia" w:ascii="仿宋" w:hAnsi="仿宋" w:eastAsia="仿宋" w:cs="仿宋"/>
          <w:kern w:val="2"/>
          <w:sz w:val="32"/>
          <w:szCs w:val="30"/>
          <w:lang w:val="en-US" w:eastAsia="zh-CN" w:bidi="ar-SA"/>
        </w:rPr>
        <w:t>2024年赣州市南康区财政公共服务中心收入预算总额为46.51万元，较上年预算安排增加6.01万元，主要原因是在职人员数量增加。财政拨款收入21.51万元，较上年预算安排增加6.01万元;教育收费资金收入0万元，较上年预算安排增加（减少）0万元;事业单位经营收入0万元，较上年预算安排增加（减少）0万元;国库集中支付网上结转0万元，较上年预算安排增加（减少）0万元。其他资金收入25万元，较上年预算安排持平。</w:t>
      </w:r>
    </w:p>
    <w:p>
      <w:pPr>
        <w:keepNext w:val="0"/>
        <w:keepLines w:val="0"/>
        <w:pageBreakBefore w:val="0"/>
        <w:kinsoku/>
        <w:wordWrap/>
        <w:overflowPunct/>
        <w:topLinePunct w:val="0"/>
        <w:autoSpaceDE/>
        <w:autoSpaceDN/>
        <w:bidi w:val="0"/>
        <w:spacing w:line="520" w:lineRule="exact"/>
        <w:ind w:firstLine="643" w:firstLineChars="200"/>
        <w:textAlignment w:val="auto"/>
        <w:rPr>
          <w:rStyle w:val="7"/>
          <w:rFonts w:hint="eastAsia" w:ascii="楷体" w:hAnsi="楷体" w:eastAsia="楷体" w:cs="楷体"/>
          <w:b/>
          <w:sz w:val="32"/>
          <w:szCs w:val="32"/>
        </w:rPr>
      </w:pPr>
      <w:r>
        <w:rPr>
          <w:rStyle w:val="7"/>
          <w:rFonts w:hint="eastAsia" w:ascii="楷体" w:hAnsi="楷体" w:eastAsia="楷体" w:cs="楷体"/>
          <w:b/>
          <w:sz w:val="32"/>
          <w:szCs w:val="32"/>
        </w:rPr>
        <w:t>（</w:t>
      </w:r>
      <w:r>
        <w:rPr>
          <w:rStyle w:val="7"/>
          <w:rFonts w:hint="eastAsia" w:ascii="楷体" w:hAnsi="楷体" w:eastAsia="楷体" w:cs="楷体"/>
          <w:b/>
          <w:sz w:val="32"/>
          <w:szCs w:val="32"/>
          <w:lang w:eastAsia="zh-CN"/>
        </w:rPr>
        <w:t>二</w:t>
      </w:r>
      <w:r>
        <w:rPr>
          <w:rStyle w:val="7"/>
          <w:rFonts w:hint="eastAsia" w:ascii="楷体" w:hAnsi="楷体" w:eastAsia="楷体" w:cs="楷体"/>
          <w:b/>
          <w:sz w:val="32"/>
          <w:szCs w:val="32"/>
        </w:rPr>
        <w:t>）支出预算情况</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
          <w:kern w:val="2"/>
          <w:sz w:val="32"/>
          <w:szCs w:val="30"/>
          <w:lang w:eastAsia="zh-CN"/>
        </w:rPr>
      </w:pPr>
      <w:r>
        <w:rPr>
          <w:rFonts w:hint="eastAsia" w:ascii="仿宋" w:hAnsi="仿宋" w:eastAsia="仿宋" w:cs="仿宋"/>
          <w:kern w:val="2"/>
          <w:sz w:val="32"/>
          <w:szCs w:val="30"/>
          <w:lang w:eastAsia="zh-CN"/>
        </w:rPr>
        <w:t>2024年赣州市南康区财政公共服务中心支出预算总额为支出预算总额为46.51万元，较上年预算安排增加6.01万元，主要原因是在职人员数量增加，支出增加。其中：</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
          <w:kern w:val="2"/>
          <w:sz w:val="32"/>
          <w:szCs w:val="30"/>
          <w:lang w:eastAsia="zh-CN"/>
        </w:rPr>
      </w:pPr>
      <w:r>
        <w:rPr>
          <w:rFonts w:hint="eastAsia" w:ascii="仿宋" w:hAnsi="仿宋" w:eastAsia="仿宋" w:cs="仿宋"/>
          <w:kern w:val="2"/>
          <w:sz w:val="32"/>
          <w:szCs w:val="30"/>
          <w:lang w:eastAsia="zh-CN"/>
        </w:rPr>
        <w:t>按支出项目类别划分：基本支出0万元，较上年预算安排增加0万元，其中：工资福利支出0万元，商品和服务支出0万元，对个人和家庭的补助0万元，资本性支出0万元。项目支出46.51万元，较上年预算安排增加6.01万元，其中：工资福利支出46.51万元，商品和服务支出0万元，对个人和家庭的补助0万元，资本性支出0万元，对企业补助0万元。</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
          <w:kern w:val="2"/>
          <w:sz w:val="32"/>
          <w:szCs w:val="30"/>
          <w:lang w:eastAsia="zh-CN"/>
        </w:rPr>
      </w:pPr>
      <w:r>
        <w:rPr>
          <w:rFonts w:hint="eastAsia" w:ascii="仿宋" w:hAnsi="仿宋" w:eastAsia="仿宋" w:cs="仿宋"/>
          <w:kern w:val="2"/>
          <w:sz w:val="32"/>
          <w:szCs w:val="30"/>
          <w:lang w:eastAsia="zh-CN"/>
        </w:rPr>
        <w:t>按支出功能科目划分：一般公共服务支出46.51万元，较上年预算安排增加6.01万元;教育支出0万元，较上年预算安排增加（减少）0万元;科学技术支出0万元，较上年预算安排增加（减少）0万元;社会保障和就业支出0万元，较上年预算安排增加（减少）0万元;卫生健康支出0万元，较上年预算安排增加（减少）0万元;农林水支出0万元，较上年预算安排增加（减少）0万元;住房保障支出0万元，较上年预算安排增加（减少）0万元。</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
          <w:kern w:val="2"/>
          <w:sz w:val="32"/>
          <w:szCs w:val="30"/>
          <w:lang w:eastAsia="zh-CN"/>
        </w:rPr>
      </w:pPr>
      <w:r>
        <w:rPr>
          <w:rFonts w:hint="eastAsia" w:ascii="仿宋" w:hAnsi="仿宋" w:eastAsia="仿宋" w:cs="仿宋"/>
          <w:kern w:val="2"/>
          <w:sz w:val="32"/>
          <w:szCs w:val="30"/>
          <w:lang w:eastAsia="zh-CN"/>
        </w:rPr>
        <w:t>按支出经济分类划分：工资福利支出46.51万元，较上年预算安排增加6.01万元;商品和服务支出0万元，较上年预算安排增加（减少）0万元;对个人和家庭的补助0万元，较上年预算安排增加（减少）0万元;资本性支出0万元，较上年预算安排增加（减少）0万元;对企业补助0万元，较上年预算安排增加（减少）0万元。</w:t>
      </w:r>
    </w:p>
    <w:p>
      <w:pPr>
        <w:keepNext w:val="0"/>
        <w:keepLines w:val="0"/>
        <w:pageBreakBefore w:val="0"/>
        <w:kinsoku/>
        <w:wordWrap/>
        <w:overflowPunct/>
        <w:topLinePunct w:val="0"/>
        <w:autoSpaceDE/>
        <w:autoSpaceDN/>
        <w:bidi w:val="0"/>
        <w:spacing w:line="520" w:lineRule="exact"/>
        <w:ind w:firstLine="643" w:firstLineChars="200"/>
        <w:textAlignment w:val="auto"/>
        <w:rPr>
          <w:rStyle w:val="7"/>
          <w:rFonts w:hint="eastAsia" w:ascii="楷体" w:hAnsi="楷体" w:eastAsia="楷体" w:cs="楷体"/>
          <w:b/>
          <w:sz w:val="32"/>
          <w:szCs w:val="32"/>
        </w:rPr>
      </w:pPr>
      <w:r>
        <w:rPr>
          <w:rStyle w:val="7"/>
          <w:rFonts w:hint="eastAsia" w:ascii="楷体" w:hAnsi="楷体" w:eastAsia="楷体" w:cs="楷体"/>
          <w:b/>
          <w:sz w:val="32"/>
          <w:szCs w:val="32"/>
        </w:rPr>
        <w:t>（</w:t>
      </w:r>
      <w:r>
        <w:rPr>
          <w:rStyle w:val="7"/>
          <w:rFonts w:hint="eastAsia" w:ascii="楷体" w:hAnsi="楷体" w:eastAsia="楷体" w:cs="楷体"/>
          <w:b/>
          <w:sz w:val="32"/>
          <w:szCs w:val="32"/>
          <w:lang w:eastAsia="zh-CN"/>
        </w:rPr>
        <w:t>三</w:t>
      </w:r>
      <w:r>
        <w:rPr>
          <w:rStyle w:val="7"/>
          <w:rFonts w:hint="eastAsia" w:ascii="楷体" w:hAnsi="楷体" w:eastAsia="楷体" w:cs="楷体"/>
          <w:b/>
          <w:sz w:val="32"/>
          <w:szCs w:val="32"/>
        </w:rPr>
        <w:t>）财政拨款支出情况</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
          <w:kern w:val="2"/>
          <w:sz w:val="32"/>
          <w:szCs w:val="30"/>
          <w:lang w:eastAsia="zh-CN"/>
        </w:rPr>
      </w:pPr>
      <w:r>
        <w:rPr>
          <w:rFonts w:hint="eastAsia" w:ascii="仿宋" w:hAnsi="仿宋" w:eastAsia="仿宋" w:cs="仿宋"/>
          <w:kern w:val="2"/>
          <w:sz w:val="32"/>
          <w:szCs w:val="30"/>
          <w:lang w:eastAsia="zh-CN"/>
        </w:rPr>
        <w:t>2024年赣州市南康区财政公共服务中心财政拨款支出预算总额为财政拨款支出预算总额21.51万元，较上年预算安排增加6.01万元，主要原因是在职人员数量增加。</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
          <w:kern w:val="2"/>
          <w:sz w:val="32"/>
          <w:szCs w:val="30"/>
          <w:lang w:eastAsia="zh-CN"/>
        </w:rPr>
      </w:pPr>
      <w:r>
        <w:rPr>
          <w:rFonts w:hint="eastAsia" w:ascii="仿宋" w:hAnsi="仿宋" w:eastAsia="仿宋" w:cs="仿宋"/>
          <w:kern w:val="2"/>
          <w:sz w:val="32"/>
          <w:szCs w:val="30"/>
          <w:lang w:eastAsia="zh-CN"/>
        </w:rPr>
        <w:t>按支出功能科目划分：一般公共服务支出21.51万元，教育支出0万元，社会保障和就业支出0万元，卫生健康支出0万元，住房保障支出0万元。</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
          <w:kern w:val="2"/>
          <w:sz w:val="32"/>
          <w:szCs w:val="30"/>
          <w:lang w:eastAsia="zh-CN"/>
        </w:rPr>
      </w:pPr>
      <w:r>
        <w:rPr>
          <w:rFonts w:hint="eastAsia" w:ascii="仿宋" w:hAnsi="仿宋" w:eastAsia="仿宋" w:cs="仿宋"/>
          <w:kern w:val="2"/>
          <w:sz w:val="32"/>
          <w:szCs w:val="30"/>
          <w:lang w:eastAsia="zh-CN"/>
        </w:rPr>
        <w:t>按支出项目类别划分：基本支出0万元，较上年预算安排增加（减少）0万元，其中：工资福利支出0万元，商品和服务支出0万元，对个人和家庭的补助0万元，资本性支出0万元。项目支出21.51万元，较上年预算安排增加6.01万元，其中：工资福利支出21.51万元，商品和服务支出0万元，对个人和家庭的补助0万元，资本性支出0万元。</w:t>
      </w:r>
    </w:p>
    <w:p>
      <w:pPr>
        <w:keepNext w:val="0"/>
        <w:keepLines w:val="0"/>
        <w:pageBreakBefore w:val="0"/>
        <w:kinsoku/>
        <w:wordWrap/>
        <w:overflowPunct/>
        <w:topLinePunct w:val="0"/>
        <w:autoSpaceDE/>
        <w:autoSpaceDN/>
        <w:bidi w:val="0"/>
        <w:spacing w:line="520" w:lineRule="exact"/>
        <w:ind w:firstLine="643" w:firstLineChars="200"/>
        <w:textAlignment w:val="auto"/>
        <w:rPr>
          <w:rStyle w:val="7"/>
          <w:rFonts w:hint="eastAsia" w:ascii="楷体" w:hAnsi="楷体" w:eastAsia="楷体" w:cs="楷体"/>
          <w:b/>
          <w:sz w:val="32"/>
          <w:szCs w:val="32"/>
        </w:rPr>
      </w:pPr>
      <w:r>
        <w:rPr>
          <w:rStyle w:val="7"/>
          <w:rFonts w:hint="eastAsia" w:ascii="楷体" w:hAnsi="楷体" w:eastAsia="楷体" w:cs="楷体"/>
          <w:b/>
          <w:sz w:val="32"/>
          <w:szCs w:val="32"/>
        </w:rPr>
        <w:t>（</w:t>
      </w:r>
      <w:r>
        <w:rPr>
          <w:rStyle w:val="7"/>
          <w:rFonts w:hint="eastAsia" w:ascii="楷体" w:hAnsi="楷体" w:eastAsia="楷体" w:cs="楷体"/>
          <w:b/>
          <w:sz w:val="32"/>
          <w:szCs w:val="32"/>
          <w:lang w:eastAsia="zh-CN"/>
        </w:rPr>
        <w:t>四</w:t>
      </w:r>
      <w:r>
        <w:rPr>
          <w:rStyle w:val="7"/>
          <w:rFonts w:hint="eastAsia" w:ascii="楷体" w:hAnsi="楷体" w:eastAsia="楷体" w:cs="楷体"/>
          <w:b/>
          <w:sz w:val="32"/>
          <w:szCs w:val="32"/>
        </w:rPr>
        <w:t>）政府性基金情况</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color w:val="FF0000"/>
          <w:kern w:val="2"/>
          <w:sz w:val="32"/>
          <w:szCs w:val="30"/>
          <w:lang w:eastAsia="zh-CN"/>
        </w:rPr>
      </w:pPr>
      <w:r>
        <w:rPr>
          <w:rFonts w:hint="eastAsia" w:ascii="仿宋" w:hAnsi="仿宋" w:eastAsia="仿宋" w:cs="仿宋"/>
          <w:kern w:val="2"/>
          <w:sz w:val="32"/>
          <w:szCs w:val="30"/>
          <w:lang w:eastAsia="zh-CN"/>
        </w:rPr>
        <w:t>2024年赣州市南康区财政公共服务中心没有使用政府性基金预算拨款安排的支出。</w:t>
      </w:r>
    </w:p>
    <w:p>
      <w:pPr>
        <w:keepNext w:val="0"/>
        <w:keepLines w:val="0"/>
        <w:pageBreakBefore w:val="0"/>
        <w:kinsoku/>
        <w:wordWrap/>
        <w:overflowPunct/>
        <w:topLinePunct w:val="0"/>
        <w:autoSpaceDE/>
        <w:autoSpaceDN/>
        <w:bidi w:val="0"/>
        <w:spacing w:line="520" w:lineRule="exact"/>
        <w:ind w:firstLine="643" w:firstLineChars="200"/>
        <w:textAlignment w:val="auto"/>
        <w:rPr>
          <w:rStyle w:val="7"/>
          <w:rFonts w:hint="eastAsia" w:ascii="楷体" w:hAnsi="楷体" w:eastAsia="楷体" w:cs="楷体"/>
          <w:b/>
          <w:sz w:val="32"/>
          <w:szCs w:val="32"/>
        </w:rPr>
      </w:pPr>
      <w:r>
        <w:rPr>
          <w:rStyle w:val="7"/>
          <w:rFonts w:hint="eastAsia" w:ascii="楷体" w:hAnsi="楷体" w:eastAsia="楷体" w:cs="楷体"/>
          <w:b/>
          <w:sz w:val="32"/>
          <w:szCs w:val="32"/>
        </w:rPr>
        <w:t>（五）国有资本经营情况</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kern w:val="2"/>
          <w:sz w:val="32"/>
          <w:szCs w:val="30"/>
          <w:lang w:eastAsia="zh-CN"/>
        </w:rPr>
      </w:pPr>
      <w:r>
        <w:rPr>
          <w:rFonts w:hint="eastAsia" w:ascii="仿宋" w:hAnsi="仿宋" w:eastAsia="仿宋" w:cs="仿宋"/>
          <w:kern w:val="2"/>
          <w:sz w:val="32"/>
          <w:szCs w:val="30"/>
          <w:lang w:val="en-US" w:eastAsia="zh-CN"/>
        </w:rPr>
        <w:t>2024年赣州市南康区财政公共服务中心</w:t>
      </w:r>
      <w:r>
        <w:rPr>
          <w:rFonts w:hint="eastAsia" w:ascii="仿宋" w:hAnsi="仿宋" w:eastAsia="仿宋" w:cs="仿宋"/>
          <w:kern w:val="2"/>
          <w:sz w:val="32"/>
          <w:szCs w:val="30"/>
          <w:lang w:eastAsia="zh-CN"/>
        </w:rPr>
        <w:t>没有使用国有资本经营预算拨款安排的支出。</w:t>
      </w:r>
      <w:r>
        <w:rPr>
          <w:rFonts w:hint="eastAsia" w:ascii="仿宋" w:hAnsi="仿宋" w:eastAsia="仿宋" w:cs="仿宋"/>
          <w:kern w:val="2"/>
          <w:sz w:val="32"/>
          <w:szCs w:val="30"/>
          <w:lang w:eastAsia="zh-CN"/>
        </w:rPr>
        <w:fldChar w:fldCharType="begin"/>
      </w:r>
      <w:r>
        <w:rPr>
          <w:rFonts w:hint="eastAsia" w:ascii="仿宋" w:hAnsi="仿宋" w:eastAsia="仿宋" w:cs="仿宋"/>
          <w:kern w:val="2"/>
          <w:sz w:val="32"/>
          <w:szCs w:val="30"/>
          <w:lang w:eastAsia="zh-CN"/>
        </w:rPr>
        <w:instrText xml:space="preserve">MERGEFIELD ${page400644146.ds215660413_REP_BGT_T_HC1100002019_DXQ02_JBZCQKGY}</w:instrText>
      </w:r>
      <w:r>
        <w:rPr>
          <w:rFonts w:hint="eastAsia" w:ascii="仿宋" w:hAnsi="仿宋" w:eastAsia="仿宋" w:cs="仿宋"/>
          <w:kern w:val="2"/>
          <w:sz w:val="32"/>
          <w:szCs w:val="30"/>
          <w:lang w:eastAsia="zh-CN"/>
        </w:rPr>
        <w:fldChar w:fldCharType="separate"/>
      </w:r>
      <w:r>
        <w:rPr>
          <w:rFonts w:hint="eastAsia" w:ascii="仿宋" w:hAnsi="仿宋" w:eastAsia="仿宋" w:cs="仿宋"/>
          <w:kern w:val="2"/>
          <w:sz w:val="32"/>
          <w:szCs w:val="30"/>
          <w:lang w:eastAsia="zh-CN"/>
        </w:rPr>
        <w:fldChar w:fldCharType="end"/>
      </w:r>
      <w:r>
        <w:rPr>
          <w:rFonts w:hint="eastAsia" w:ascii="仿宋" w:hAnsi="仿宋" w:eastAsia="仿宋" w:cs="仿宋"/>
          <w:kern w:val="2"/>
          <w:sz w:val="32"/>
          <w:szCs w:val="30"/>
          <w:lang w:eastAsia="zh-CN"/>
        </w:rPr>
        <w:fldChar w:fldCharType="begin"/>
      </w:r>
      <w:r>
        <w:rPr>
          <w:rFonts w:hint="eastAsia" w:ascii="仿宋" w:hAnsi="仿宋" w:eastAsia="仿宋" w:cs="仿宋"/>
          <w:kern w:val="2"/>
          <w:sz w:val="32"/>
          <w:szCs w:val="30"/>
          <w:lang w:eastAsia="zh-CN"/>
        </w:rPr>
        <w:instrText xml:space="preserve">MERGEFIELD ${page400644146.ds215660413_REP_BGT_T_HC1100002019_DXQ02_XMZCQKGY}</w:instrText>
      </w:r>
      <w:r>
        <w:rPr>
          <w:rFonts w:hint="eastAsia" w:ascii="仿宋" w:hAnsi="仿宋" w:eastAsia="仿宋" w:cs="仿宋"/>
          <w:kern w:val="2"/>
          <w:sz w:val="32"/>
          <w:szCs w:val="30"/>
          <w:lang w:eastAsia="zh-CN"/>
        </w:rPr>
        <w:fldChar w:fldCharType="separate"/>
      </w:r>
      <w:r>
        <w:rPr>
          <w:rFonts w:hint="eastAsia" w:ascii="仿宋" w:hAnsi="仿宋" w:eastAsia="仿宋" w:cs="仿宋"/>
          <w:kern w:val="2"/>
          <w:sz w:val="32"/>
          <w:szCs w:val="30"/>
          <w:lang w:eastAsia="zh-CN"/>
        </w:rPr>
        <w:fldChar w:fldCharType="end"/>
      </w:r>
    </w:p>
    <w:p>
      <w:pPr>
        <w:keepNext w:val="0"/>
        <w:keepLines w:val="0"/>
        <w:pageBreakBefore w:val="0"/>
        <w:kinsoku/>
        <w:wordWrap/>
        <w:overflowPunct/>
        <w:topLinePunct w:val="0"/>
        <w:autoSpaceDE/>
        <w:autoSpaceDN/>
        <w:bidi w:val="0"/>
        <w:spacing w:line="520" w:lineRule="exact"/>
        <w:ind w:firstLine="643" w:firstLineChars="200"/>
        <w:textAlignment w:val="auto"/>
        <w:rPr>
          <w:rStyle w:val="7"/>
          <w:rFonts w:hint="eastAsia" w:ascii="楷体" w:hAnsi="楷体" w:eastAsia="楷体" w:cs="楷体"/>
          <w:b/>
          <w:sz w:val="32"/>
          <w:szCs w:val="32"/>
        </w:rPr>
      </w:pPr>
      <w:r>
        <w:rPr>
          <w:rStyle w:val="7"/>
          <w:rFonts w:hint="eastAsia" w:ascii="楷体" w:hAnsi="楷体" w:eastAsia="楷体" w:cs="楷体"/>
          <w:b/>
          <w:sz w:val="32"/>
          <w:szCs w:val="32"/>
          <w:lang w:eastAsia="zh-CN"/>
        </w:rPr>
        <w:t>（</w:t>
      </w:r>
      <w:r>
        <w:rPr>
          <w:rStyle w:val="7"/>
          <w:rFonts w:hint="eastAsia" w:ascii="楷体" w:hAnsi="楷体" w:eastAsia="楷体" w:cs="楷体"/>
          <w:b/>
          <w:sz w:val="32"/>
          <w:szCs w:val="32"/>
        </w:rPr>
        <w:t>六</w:t>
      </w:r>
      <w:r>
        <w:rPr>
          <w:rStyle w:val="7"/>
          <w:rFonts w:hint="eastAsia" w:ascii="楷体" w:hAnsi="楷体" w:eastAsia="楷体" w:cs="楷体"/>
          <w:b/>
          <w:sz w:val="32"/>
          <w:szCs w:val="32"/>
          <w:lang w:eastAsia="zh-CN"/>
        </w:rPr>
        <w:t>）</w:t>
      </w:r>
      <w:r>
        <w:rPr>
          <w:rStyle w:val="7"/>
          <w:rFonts w:hint="eastAsia" w:ascii="楷体" w:hAnsi="楷体" w:eastAsia="楷体" w:cs="楷体"/>
          <w:b/>
          <w:sz w:val="32"/>
          <w:szCs w:val="32"/>
        </w:rPr>
        <w:t>机关运行经费等重要事项的说明</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
          <w:kern w:val="2"/>
          <w:sz w:val="32"/>
          <w:szCs w:val="30"/>
          <w:lang w:eastAsia="zh-CN"/>
        </w:rPr>
      </w:pPr>
      <w:r>
        <w:rPr>
          <w:rFonts w:hint="eastAsia" w:ascii="仿宋" w:hAnsi="仿宋" w:eastAsia="仿宋" w:cs="仿宋"/>
          <w:kern w:val="2"/>
          <w:sz w:val="32"/>
          <w:szCs w:val="30"/>
          <w:lang w:eastAsia="zh-CN"/>
        </w:rPr>
        <w:t>2024年部门机关运行费预算0万元，比2023年预算增加（减少）0万元，与上年一致，主要原因是单位公用经费由财政局机关统一管理。</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
          <w:kern w:val="2"/>
          <w:sz w:val="32"/>
          <w:szCs w:val="30"/>
          <w:lang w:eastAsia="zh-CN"/>
        </w:rPr>
      </w:pPr>
      <w:r>
        <w:rPr>
          <w:rFonts w:hint="eastAsia" w:ascii="仿宋" w:hAnsi="仿宋" w:eastAsia="仿宋" w:cs="仿宋"/>
          <w:kern w:val="2"/>
          <w:sz w:val="32"/>
          <w:szCs w:val="30"/>
          <w:lang w:eastAsia="zh-CN"/>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spacing w:line="520" w:lineRule="exact"/>
        <w:ind w:firstLine="643" w:firstLineChars="200"/>
        <w:textAlignment w:val="auto"/>
        <w:rPr>
          <w:rStyle w:val="7"/>
          <w:rFonts w:hint="eastAsia" w:ascii="楷体" w:hAnsi="楷体" w:eastAsia="楷体" w:cs="楷体"/>
          <w:b/>
          <w:sz w:val="32"/>
          <w:szCs w:val="32"/>
        </w:rPr>
      </w:pPr>
      <w:r>
        <w:rPr>
          <w:rStyle w:val="7"/>
          <w:rFonts w:hint="eastAsia" w:ascii="楷体" w:hAnsi="楷体" w:eastAsia="楷体" w:cs="楷体"/>
          <w:b/>
          <w:sz w:val="32"/>
          <w:szCs w:val="32"/>
          <w:lang w:eastAsia="zh-CN"/>
        </w:rPr>
        <w:t>（</w:t>
      </w:r>
      <w:r>
        <w:rPr>
          <w:rStyle w:val="7"/>
          <w:rFonts w:hint="eastAsia" w:ascii="楷体" w:hAnsi="楷体" w:eastAsia="楷体" w:cs="楷体"/>
          <w:b/>
          <w:sz w:val="32"/>
          <w:szCs w:val="32"/>
        </w:rPr>
        <w:t>七</w:t>
      </w:r>
      <w:r>
        <w:rPr>
          <w:rStyle w:val="7"/>
          <w:rFonts w:hint="eastAsia" w:ascii="楷体" w:hAnsi="楷体" w:eastAsia="楷体" w:cs="楷体"/>
          <w:b/>
          <w:sz w:val="32"/>
          <w:szCs w:val="32"/>
          <w:lang w:eastAsia="zh-CN"/>
        </w:rPr>
        <w:t>）</w:t>
      </w:r>
      <w:r>
        <w:rPr>
          <w:rStyle w:val="7"/>
          <w:rFonts w:hint="eastAsia" w:ascii="楷体" w:hAnsi="楷体" w:eastAsia="楷体" w:cs="楷体"/>
          <w:b/>
          <w:sz w:val="32"/>
          <w:szCs w:val="32"/>
        </w:rPr>
        <w:t>政府采购情况</w:t>
      </w:r>
    </w:p>
    <w:p>
      <w:pPr>
        <w:keepNext w:val="0"/>
        <w:keepLines w:val="0"/>
        <w:pageBreakBefore w:val="0"/>
        <w:kinsoku/>
        <w:wordWrap/>
        <w:overflowPunct/>
        <w:topLinePunct w:val="0"/>
        <w:autoSpaceDE/>
        <w:autoSpaceDN/>
        <w:bidi w:val="0"/>
        <w:spacing w:line="520" w:lineRule="exact"/>
        <w:ind w:firstLine="640" w:firstLineChars="200"/>
        <w:jc w:val="left"/>
        <w:textAlignment w:val="auto"/>
        <w:rPr>
          <w:rFonts w:hint="eastAsia" w:ascii="仿宋" w:hAnsi="仿宋" w:eastAsia="仿宋" w:cs="仿宋"/>
          <w:kern w:val="2"/>
          <w:sz w:val="32"/>
          <w:szCs w:val="30"/>
          <w:lang w:val="en-US" w:eastAsia="zh-CN" w:bidi="ar-SA"/>
        </w:rPr>
      </w:pPr>
      <w:r>
        <w:rPr>
          <w:rFonts w:hint="eastAsia" w:ascii="仿宋" w:hAnsi="仿宋" w:eastAsia="仿宋" w:cs="仿宋"/>
          <w:kern w:val="2"/>
          <w:sz w:val="32"/>
          <w:szCs w:val="30"/>
          <w:lang w:val="en-US" w:eastAsia="zh-CN" w:bidi="ar-SA"/>
        </w:rPr>
        <w:t>2024年部门所属各单位政府采购总额0万元，其中: 政府采购货物预算0万元，政府采购工程预算0万元，</w:t>
      </w:r>
      <w:bookmarkStart w:id="0" w:name="_GoBack"/>
      <w:bookmarkEnd w:id="0"/>
      <w:r>
        <w:rPr>
          <w:rFonts w:hint="eastAsia" w:ascii="仿宋" w:hAnsi="仿宋" w:eastAsia="仿宋" w:cs="仿宋"/>
          <w:kern w:val="2"/>
          <w:sz w:val="32"/>
          <w:szCs w:val="30"/>
          <w:lang w:val="en-US" w:eastAsia="zh-CN" w:bidi="ar-SA"/>
        </w:rPr>
        <w:t>政府采购服务预算0万元。</w:t>
      </w:r>
    </w:p>
    <w:p>
      <w:pPr>
        <w:keepNext w:val="0"/>
        <w:keepLines w:val="0"/>
        <w:pageBreakBefore w:val="0"/>
        <w:kinsoku/>
        <w:wordWrap/>
        <w:overflowPunct/>
        <w:topLinePunct w:val="0"/>
        <w:autoSpaceDE/>
        <w:autoSpaceDN/>
        <w:bidi w:val="0"/>
        <w:spacing w:line="520" w:lineRule="exact"/>
        <w:ind w:firstLine="643" w:firstLineChars="200"/>
        <w:textAlignment w:val="auto"/>
        <w:rPr>
          <w:rStyle w:val="7"/>
          <w:rFonts w:hint="eastAsia" w:ascii="楷体" w:hAnsi="楷体" w:eastAsia="楷体" w:cs="楷体"/>
          <w:b/>
          <w:sz w:val="32"/>
          <w:szCs w:val="32"/>
        </w:rPr>
      </w:pPr>
      <w:r>
        <w:rPr>
          <w:rStyle w:val="7"/>
          <w:rFonts w:hint="eastAsia" w:ascii="楷体" w:hAnsi="楷体" w:eastAsia="楷体" w:cs="楷体"/>
          <w:b/>
          <w:sz w:val="32"/>
          <w:szCs w:val="32"/>
          <w:lang w:eastAsia="zh-CN"/>
        </w:rPr>
        <w:t>（</w:t>
      </w:r>
      <w:r>
        <w:rPr>
          <w:rStyle w:val="7"/>
          <w:rFonts w:hint="eastAsia" w:ascii="楷体" w:hAnsi="楷体" w:eastAsia="楷体" w:cs="楷体"/>
          <w:b/>
          <w:sz w:val="32"/>
          <w:szCs w:val="32"/>
        </w:rPr>
        <w:t>八</w:t>
      </w:r>
      <w:r>
        <w:rPr>
          <w:rStyle w:val="7"/>
          <w:rFonts w:hint="eastAsia" w:ascii="楷体" w:hAnsi="楷体" w:eastAsia="楷体" w:cs="楷体"/>
          <w:b/>
          <w:sz w:val="32"/>
          <w:szCs w:val="32"/>
          <w:lang w:eastAsia="zh-CN"/>
        </w:rPr>
        <w:t>）</w:t>
      </w:r>
      <w:r>
        <w:rPr>
          <w:rStyle w:val="7"/>
          <w:rFonts w:hint="eastAsia" w:ascii="楷体" w:hAnsi="楷体" w:eastAsia="楷体" w:cs="楷体"/>
          <w:b/>
          <w:sz w:val="32"/>
          <w:szCs w:val="32"/>
        </w:rPr>
        <w:t>国有资产占有使用情况</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
          <w:kern w:val="2"/>
          <w:sz w:val="32"/>
          <w:szCs w:val="30"/>
          <w:lang w:eastAsia="zh-CN"/>
        </w:rPr>
      </w:pPr>
      <w:r>
        <w:rPr>
          <w:rFonts w:hint="eastAsia" w:ascii="仿宋" w:hAnsi="仿宋" w:eastAsia="仿宋" w:cs="仿宋"/>
          <w:kern w:val="2"/>
          <w:sz w:val="32"/>
          <w:szCs w:val="30"/>
          <w:lang w:eastAsia="zh-CN"/>
        </w:rPr>
        <w:t>截至2023年底，本单位共有车辆0辆，其中：一般公务用车实有数0辆，执法执勤用车实有数0辆。</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
          <w:kern w:val="2"/>
          <w:sz w:val="32"/>
          <w:szCs w:val="30"/>
          <w:lang w:eastAsia="zh-CN"/>
        </w:rPr>
      </w:pPr>
      <w:r>
        <w:rPr>
          <w:rFonts w:hint="eastAsia" w:ascii="仿宋" w:hAnsi="仿宋" w:eastAsia="仿宋" w:cs="仿宋"/>
          <w:kern w:val="2"/>
          <w:sz w:val="32"/>
          <w:szCs w:val="30"/>
          <w:lang w:eastAsia="zh-CN"/>
        </w:rPr>
        <w:t>2024年部门预算安排购置车辆0辆。</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
          <w:kern w:val="2"/>
          <w:sz w:val="32"/>
          <w:szCs w:val="30"/>
          <w:lang w:eastAsia="zh-CN"/>
        </w:rPr>
      </w:pPr>
      <w:r>
        <w:rPr>
          <w:rFonts w:hint="eastAsia" w:ascii="仿宋" w:hAnsi="仿宋" w:eastAsia="仿宋" w:cs="仿宋"/>
          <w:kern w:val="2"/>
          <w:sz w:val="32"/>
          <w:szCs w:val="30"/>
          <w:lang w:eastAsia="zh-CN"/>
        </w:rPr>
        <w:t>2024年未安排购置单位价值200万元以上大型设备。</w:t>
      </w:r>
    </w:p>
    <w:p>
      <w:pPr>
        <w:keepNext w:val="0"/>
        <w:keepLines w:val="0"/>
        <w:pageBreakBefore w:val="0"/>
        <w:widowControl/>
        <w:kinsoku/>
        <w:wordWrap/>
        <w:overflowPunct/>
        <w:topLinePunct w:val="0"/>
        <w:autoSpaceDE/>
        <w:autoSpaceDN/>
        <w:bidi w:val="0"/>
        <w:spacing w:line="520" w:lineRule="exact"/>
        <w:ind w:firstLine="643" w:firstLineChars="200"/>
        <w:jc w:val="left"/>
        <w:textAlignment w:val="auto"/>
        <w:rPr>
          <w:rStyle w:val="7"/>
          <w:rFonts w:hint="eastAsia" w:ascii="楷体" w:hAnsi="楷体" w:eastAsia="楷体" w:cs="楷体"/>
          <w:b/>
          <w:sz w:val="32"/>
          <w:szCs w:val="32"/>
        </w:rPr>
      </w:pPr>
      <w:r>
        <w:rPr>
          <w:rStyle w:val="7"/>
          <w:rFonts w:hint="eastAsia" w:ascii="楷体" w:hAnsi="楷体" w:eastAsia="楷体" w:cs="楷体"/>
          <w:b/>
          <w:sz w:val="32"/>
          <w:szCs w:val="32"/>
        </w:rPr>
        <w:t>（九）财政公共服务中心工作经费项目情况说明</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kern w:val="2"/>
          <w:sz w:val="32"/>
          <w:szCs w:val="30"/>
          <w:lang w:val="en-US" w:eastAsia="zh-CN"/>
        </w:rPr>
      </w:pPr>
      <w:r>
        <w:rPr>
          <w:rFonts w:hint="eastAsia" w:ascii="仿宋" w:hAnsi="仿宋" w:eastAsia="仿宋" w:cs="仿宋"/>
          <w:kern w:val="2"/>
          <w:sz w:val="32"/>
          <w:szCs w:val="30"/>
          <w:lang w:val="en-US" w:eastAsia="zh-CN"/>
        </w:rPr>
        <w:t>（1）项目概述</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kern w:val="2"/>
          <w:sz w:val="32"/>
          <w:szCs w:val="30"/>
          <w:lang w:val="en-US" w:eastAsia="zh-CN"/>
        </w:rPr>
      </w:pPr>
      <w:r>
        <w:rPr>
          <w:rFonts w:hint="eastAsia" w:ascii="仿宋" w:hAnsi="仿宋" w:eastAsia="仿宋" w:cs="仿宋"/>
          <w:kern w:val="2"/>
          <w:sz w:val="32"/>
          <w:szCs w:val="30"/>
          <w:lang w:val="en-US" w:eastAsia="zh-CN"/>
        </w:rPr>
        <w:t>做好单位人员管理，保证单位基本运转，完成各项财政任务，扎实抓好财政开源增收工作，实现收入增长稳健有力，为经济社会高质量发展提供坚强的财税支撑。</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kern w:val="2"/>
          <w:sz w:val="32"/>
          <w:szCs w:val="30"/>
          <w:lang w:val="en-US" w:eastAsia="zh-CN"/>
        </w:rPr>
      </w:pPr>
      <w:r>
        <w:rPr>
          <w:rFonts w:hint="eastAsia" w:ascii="仿宋" w:hAnsi="仿宋" w:eastAsia="仿宋" w:cs="仿宋"/>
          <w:kern w:val="2"/>
          <w:sz w:val="32"/>
          <w:szCs w:val="30"/>
          <w:lang w:val="en-US" w:eastAsia="zh-CN"/>
        </w:rPr>
        <w:t>（2）立项依据</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kern w:val="2"/>
          <w:sz w:val="32"/>
          <w:szCs w:val="30"/>
          <w:lang w:val="en-US" w:eastAsia="zh-CN"/>
        </w:rPr>
      </w:pPr>
      <w:r>
        <w:rPr>
          <w:rFonts w:hint="eastAsia" w:ascii="仿宋" w:hAnsi="仿宋" w:eastAsia="仿宋" w:cs="仿宋"/>
          <w:kern w:val="2"/>
          <w:sz w:val="32"/>
          <w:szCs w:val="30"/>
          <w:lang w:val="en-US" w:eastAsia="zh-CN"/>
        </w:rPr>
        <w:t>《赣州市南康区财政局关于编制2024年部门预算及部门2024-2026年支出规划的通知》（康财〔2023〕35号）、《关于区财政局深化事业单位改革有关事项的批复》（康编字〔2021〕28号）</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kern w:val="2"/>
          <w:sz w:val="32"/>
          <w:szCs w:val="30"/>
          <w:lang w:val="en-US" w:eastAsia="zh-CN"/>
        </w:rPr>
      </w:pPr>
      <w:r>
        <w:rPr>
          <w:rFonts w:hint="eastAsia" w:ascii="仿宋" w:hAnsi="仿宋" w:eastAsia="仿宋" w:cs="仿宋"/>
          <w:kern w:val="2"/>
          <w:sz w:val="32"/>
          <w:szCs w:val="30"/>
          <w:lang w:val="en-US" w:eastAsia="zh-CN"/>
        </w:rPr>
        <w:t>（3）实施主体</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kern w:val="2"/>
          <w:sz w:val="32"/>
          <w:szCs w:val="30"/>
          <w:lang w:val="en-US" w:eastAsia="zh-CN"/>
        </w:rPr>
      </w:pPr>
      <w:r>
        <w:rPr>
          <w:rFonts w:hint="eastAsia" w:ascii="仿宋" w:hAnsi="仿宋" w:eastAsia="仿宋" w:cs="仿宋"/>
          <w:kern w:val="2"/>
          <w:sz w:val="32"/>
          <w:szCs w:val="30"/>
          <w:lang w:val="en-US" w:eastAsia="zh-CN"/>
        </w:rPr>
        <w:t>赣州市南康区财政公共服务中心</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kern w:val="2"/>
          <w:sz w:val="32"/>
          <w:szCs w:val="30"/>
          <w:lang w:val="en-US" w:eastAsia="zh-CN"/>
        </w:rPr>
      </w:pPr>
      <w:r>
        <w:rPr>
          <w:rFonts w:hint="eastAsia" w:ascii="仿宋" w:hAnsi="仿宋" w:eastAsia="仿宋" w:cs="仿宋"/>
          <w:kern w:val="2"/>
          <w:sz w:val="32"/>
          <w:szCs w:val="30"/>
          <w:lang w:val="en-US" w:eastAsia="zh-CN"/>
        </w:rPr>
        <w:t>（4）实施方案</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kern w:val="2"/>
          <w:sz w:val="32"/>
          <w:szCs w:val="30"/>
          <w:lang w:val="en-US" w:eastAsia="zh-CN"/>
        </w:rPr>
      </w:pPr>
      <w:r>
        <w:rPr>
          <w:rFonts w:hint="eastAsia" w:ascii="仿宋" w:hAnsi="仿宋" w:eastAsia="仿宋" w:cs="仿宋"/>
          <w:kern w:val="2"/>
          <w:sz w:val="32"/>
          <w:szCs w:val="30"/>
          <w:lang w:val="en-US" w:eastAsia="zh-CN"/>
        </w:rPr>
        <w:t>紧紧围绕省、市、区委、政府决策部署，全局上下围绕全区中心大局，立足财政职责，积极履职，担当实干，充分调动人员积极性。</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kern w:val="2"/>
          <w:sz w:val="32"/>
          <w:szCs w:val="30"/>
          <w:lang w:val="en-US" w:eastAsia="zh-CN"/>
        </w:rPr>
      </w:pPr>
      <w:r>
        <w:rPr>
          <w:rFonts w:hint="eastAsia" w:ascii="仿宋" w:hAnsi="仿宋" w:eastAsia="仿宋" w:cs="仿宋"/>
          <w:kern w:val="2"/>
          <w:sz w:val="32"/>
          <w:szCs w:val="30"/>
          <w:lang w:val="en-US" w:eastAsia="zh-CN"/>
        </w:rPr>
        <w:t>（5）实施周期</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kern w:val="2"/>
          <w:sz w:val="32"/>
          <w:szCs w:val="30"/>
          <w:lang w:val="en-US" w:eastAsia="zh-CN"/>
        </w:rPr>
      </w:pPr>
      <w:r>
        <w:rPr>
          <w:rFonts w:hint="eastAsia" w:ascii="仿宋" w:hAnsi="仿宋" w:eastAsia="仿宋" w:cs="仿宋"/>
          <w:kern w:val="2"/>
          <w:sz w:val="32"/>
          <w:szCs w:val="30"/>
          <w:lang w:val="en-US" w:eastAsia="zh-CN"/>
        </w:rPr>
        <w:t>一年</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kern w:val="2"/>
          <w:sz w:val="32"/>
          <w:szCs w:val="30"/>
          <w:lang w:val="en-US" w:eastAsia="zh-CN"/>
        </w:rPr>
      </w:pPr>
      <w:r>
        <w:rPr>
          <w:rFonts w:hint="eastAsia" w:ascii="仿宋" w:hAnsi="仿宋" w:eastAsia="仿宋" w:cs="仿宋"/>
          <w:kern w:val="2"/>
          <w:sz w:val="32"/>
          <w:szCs w:val="30"/>
          <w:lang w:val="en-US" w:eastAsia="zh-CN"/>
        </w:rPr>
        <w:t>（6）年度预算安排</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kern w:val="2"/>
          <w:sz w:val="32"/>
          <w:szCs w:val="30"/>
          <w:lang w:val="en-US" w:eastAsia="zh-CN"/>
        </w:rPr>
      </w:pPr>
      <w:r>
        <w:rPr>
          <w:rFonts w:hint="eastAsia" w:ascii="仿宋" w:hAnsi="仿宋" w:eastAsia="仿宋" w:cs="仿宋"/>
          <w:kern w:val="2"/>
          <w:sz w:val="32"/>
          <w:szCs w:val="30"/>
          <w:lang w:val="en-US" w:eastAsia="zh-CN"/>
        </w:rPr>
        <w:t>2024年安排本级财政拨款21.51万元</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kern w:val="2"/>
          <w:sz w:val="32"/>
          <w:szCs w:val="30"/>
          <w:lang w:val="en-US" w:eastAsia="zh-CN"/>
        </w:rPr>
      </w:pPr>
      <w:r>
        <w:rPr>
          <w:rFonts w:hint="eastAsia" w:ascii="仿宋" w:hAnsi="仿宋" w:eastAsia="仿宋" w:cs="仿宋"/>
          <w:kern w:val="2"/>
          <w:sz w:val="32"/>
          <w:szCs w:val="30"/>
          <w:lang w:val="en-US" w:eastAsia="zh-CN"/>
        </w:rPr>
        <w:t xml:space="preserve"> （7）绩效目标和指标</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kern w:val="2"/>
          <w:sz w:val="32"/>
          <w:szCs w:val="30"/>
          <w:lang w:val="en-US" w:eastAsia="zh-CN"/>
        </w:rPr>
      </w:pPr>
      <w:r>
        <w:rPr>
          <w:rFonts w:hint="eastAsia" w:ascii="仿宋" w:hAnsi="仿宋" w:eastAsia="仿宋" w:cs="仿宋"/>
          <w:kern w:val="2"/>
          <w:sz w:val="32"/>
          <w:szCs w:val="30"/>
          <w:lang w:val="en-US" w:eastAsia="zh-CN"/>
        </w:rPr>
        <w:t>数量指标：组织财政业务培训次数≥10次</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kern w:val="2"/>
          <w:sz w:val="32"/>
          <w:szCs w:val="30"/>
          <w:lang w:val="en-US" w:eastAsia="zh-CN"/>
        </w:rPr>
      </w:pPr>
      <w:r>
        <w:rPr>
          <w:rFonts w:hint="eastAsia" w:ascii="仿宋" w:hAnsi="仿宋" w:eastAsia="仿宋" w:cs="仿宋"/>
          <w:kern w:val="2"/>
          <w:sz w:val="32"/>
          <w:szCs w:val="30"/>
          <w:lang w:val="en-US" w:eastAsia="zh-CN"/>
        </w:rPr>
        <w:t>质量指标：财政工作任务完成率=100%、绩效管理工作覆盖率=100%；培训出勤率≥95%</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kern w:val="2"/>
          <w:sz w:val="32"/>
          <w:szCs w:val="30"/>
          <w:lang w:val="en-US" w:eastAsia="zh-CN"/>
        </w:rPr>
      </w:pPr>
      <w:r>
        <w:rPr>
          <w:rFonts w:hint="eastAsia" w:ascii="仿宋" w:hAnsi="仿宋" w:eastAsia="仿宋" w:cs="仿宋"/>
          <w:kern w:val="2"/>
          <w:sz w:val="32"/>
          <w:szCs w:val="30"/>
          <w:lang w:val="en-US" w:eastAsia="zh-CN"/>
        </w:rPr>
        <w:t>时效指标：工资发放及时率≥95%</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kern w:val="2"/>
          <w:sz w:val="32"/>
          <w:szCs w:val="30"/>
          <w:lang w:val="en-US" w:eastAsia="zh-CN"/>
        </w:rPr>
      </w:pPr>
      <w:r>
        <w:rPr>
          <w:rFonts w:hint="eastAsia" w:ascii="仿宋" w:hAnsi="仿宋" w:eastAsia="仿宋" w:cs="仿宋"/>
          <w:kern w:val="2"/>
          <w:sz w:val="32"/>
          <w:szCs w:val="30"/>
          <w:lang w:val="en-US" w:eastAsia="zh-CN"/>
        </w:rPr>
        <w:t>成本指标：会议参会人均成本</w:t>
      </w:r>
      <w:r>
        <w:rPr>
          <w:rFonts w:hint="eastAsia" w:ascii="仿宋" w:hAnsi="仿宋" w:eastAsia="仿宋" w:cs="仿宋"/>
          <w:kern w:val="2"/>
          <w:sz w:val="32"/>
          <w:szCs w:val="30"/>
          <w:lang w:val="en-US" w:eastAsia="zh-CN"/>
        </w:rPr>
        <w:tab/>
      </w:r>
      <w:r>
        <w:rPr>
          <w:rFonts w:hint="eastAsia" w:ascii="仿宋" w:hAnsi="仿宋" w:eastAsia="仿宋" w:cs="仿宋"/>
          <w:kern w:val="2"/>
          <w:sz w:val="32"/>
          <w:szCs w:val="30"/>
          <w:lang w:val="en-US" w:eastAsia="zh-CN"/>
        </w:rPr>
        <w:t>＝100元/人/天</w:t>
      </w:r>
      <w:r>
        <w:rPr>
          <w:rFonts w:hint="eastAsia" w:ascii="仿宋" w:hAnsi="仿宋" w:eastAsia="仿宋" w:cs="仿宋"/>
          <w:kern w:val="2"/>
          <w:sz w:val="32"/>
          <w:szCs w:val="30"/>
          <w:lang w:val="en-US" w:eastAsia="zh-CN"/>
        </w:rPr>
        <w:tab/>
      </w:r>
      <w:r>
        <w:rPr>
          <w:rFonts w:hint="eastAsia" w:ascii="仿宋" w:hAnsi="仿宋" w:eastAsia="仿宋" w:cs="仿宋"/>
          <w:kern w:val="2"/>
          <w:sz w:val="32"/>
          <w:szCs w:val="30"/>
          <w:lang w:val="en-US" w:eastAsia="zh-CN"/>
        </w:rPr>
        <w:tab/>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kern w:val="2"/>
          <w:sz w:val="32"/>
          <w:szCs w:val="30"/>
          <w:lang w:val="en-US" w:eastAsia="zh-CN"/>
        </w:rPr>
      </w:pPr>
      <w:r>
        <w:rPr>
          <w:rFonts w:hint="eastAsia" w:ascii="仿宋" w:hAnsi="仿宋" w:eastAsia="仿宋" w:cs="仿宋"/>
          <w:kern w:val="2"/>
          <w:sz w:val="32"/>
          <w:szCs w:val="30"/>
          <w:lang w:val="en-US" w:eastAsia="zh-CN"/>
        </w:rPr>
        <w:t>经济效益指标：财政资金使用效益提升</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kern w:val="2"/>
          <w:sz w:val="32"/>
          <w:szCs w:val="30"/>
          <w:lang w:val="en-US" w:eastAsia="zh-CN"/>
        </w:rPr>
      </w:pPr>
      <w:r>
        <w:rPr>
          <w:rFonts w:hint="eastAsia" w:ascii="仿宋" w:hAnsi="仿宋" w:eastAsia="仿宋" w:cs="仿宋"/>
          <w:kern w:val="2"/>
          <w:sz w:val="32"/>
          <w:szCs w:val="30"/>
          <w:lang w:val="en-US" w:eastAsia="zh-CN"/>
        </w:rPr>
        <w:t>社会效益指标：政府采购任务完成率=100%</w:t>
      </w:r>
      <w:r>
        <w:rPr>
          <w:rFonts w:hint="eastAsia" w:ascii="仿宋" w:hAnsi="仿宋" w:eastAsia="仿宋" w:cs="仿宋"/>
          <w:kern w:val="2"/>
          <w:sz w:val="32"/>
          <w:szCs w:val="30"/>
          <w:lang w:val="en-US" w:eastAsia="zh-CN"/>
        </w:rPr>
        <w:tab/>
      </w:r>
      <w:r>
        <w:rPr>
          <w:rFonts w:hint="eastAsia" w:ascii="仿宋" w:hAnsi="仿宋" w:eastAsia="仿宋" w:cs="仿宋"/>
          <w:kern w:val="2"/>
          <w:sz w:val="32"/>
          <w:szCs w:val="30"/>
          <w:lang w:val="en-US" w:eastAsia="zh-CN"/>
        </w:rPr>
        <w:t>，预算单位业务水平提升</w:t>
      </w:r>
      <w:r>
        <w:rPr>
          <w:rFonts w:hint="eastAsia" w:ascii="仿宋" w:hAnsi="仿宋" w:eastAsia="仿宋" w:cs="仿宋"/>
          <w:kern w:val="2"/>
          <w:sz w:val="32"/>
          <w:szCs w:val="30"/>
          <w:lang w:val="en-US" w:eastAsia="zh-CN"/>
        </w:rPr>
        <w:tab/>
      </w:r>
      <w:r>
        <w:rPr>
          <w:rFonts w:hint="eastAsia" w:ascii="仿宋" w:hAnsi="仿宋" w:eastAsia="仿宋" w:cs="仿宋"/>
          <w:kern w:val="2"/>
          <w:sz w:val="32"/>
          <w:szCs w:val="30"/>
          <w:lang w:val="en-US" w:eastAsia="zh-CN"/>
        </w:rPr>
        <w:tab/>
      </w:r>
      <w:r>
        <w:rPr>
          <w:rFonts w:hint="eastAsia" w:ascii="仿宋" w:hAnsi="仿宋" w:eastAsia="仿宋" w:cs="仿宋"/>
          <w:kern w:val="2"/>
          <w:sz w:val="32"/>
          <w:szCs w:val="30"/>
          <w:lang w:val="en-US" w:eastAsia="zh-CN"/>
        </w:rPr>
        <w:tab/>
      </w:r>
      <w:r>
        <w:rPr>
          <w:rFonts w:hint="eastAsia" w:ascii="仿宋" w:hAnsi="仿宋" w:eastAsia="仿宋" w:cs="仿宋"/>
          <w:kern w:val="2"/>
          <w:sz w:val="32"/>
          <w:szCs w:val="30"/>
          <w:lang w:val="en-US" w:eastAsia="zh-CN"/>
        </w:rPr>
        <w:tab/>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kern w:val="2"/>
          <w:sz w:val="32"/>
          <w:szCs w:val="30"/>
          <w:lang w:val="en-US" w:eastAsia="zh-CN"/>
        </w:rPr>
      </w:pPr>
      <w:r>
        <w:rPr>
          <w:rFonts w:hint="eastAsia" w:ascii="仿宋" w:hAnsi="仿宋" w:eastAsia="仿宋" w:cs="仿宋"/>
          <w:kern w:val="2"/>
          <w:sz w:val="32"/>
          <w:szCs w:val="30"/>
          <w:lang w:val="en-US" w:eastAsia="zh-CN"/>
        </w:rPr>
        <w:t>可持续影响指标：制度可持续</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kern w:val="2"/>
          <w:sz w:val="32"/>
          <w:szCs w:val="30"/>
          <w:lang w:val="en-US" w:eastAsia="zh-CN"/>
        </w:rPr>
      </w:pPr>
      <w:r>
        <w:rPr>
          <w:rFonts w:hint="eastAsia" w:ascii="仿宋" w:hAnsi="仿宋" w:eastAsia="仿宋" w:cs="仿宋"/>
          <w:kern w:val="2"/>
          <w:sz w:val="32"/>
          <w:szCs w:val="30"/>
          <w:lang w:val="en-US" w:eastAsia="zh-CN"/>
        </w:rPr>
        <w:t>满意度指标：上级单位满意度≥95%，全区各预算单位满意度≥95%，单位职工满意度≥95%</w:t>
      </w:r>
    </w:p>
    <w:p>
      <w:pPr>
        <w:keepNext w:val="0"/>
        <w:keepLines w:val="0"/>
        <w:pageBreakBefore w:val="0"/>
        <w:widowControl/>
        <w:kinsoku/>
        <w:wordWrap/>
        <w:overflowPunct/>
        <w:topLinePunct w:val="0"/>
        <w:autoSpaceDE/>
        <w:autoSpaceDN/>
        <w:bidi w:val="0"/>
        <w:spacing w:line="520" w:lineRule="exact"/>
        <w:ind w:firstLine="640" w:firstLineChars="200"/>
        <w:jc w:val="left"/>
        <w:textAlignment w:val="auto"/>
        <w:rPr>
          <w:rFonts w:hint="eastAsia" w:ascii="黑体" w:hAnsi="黑体" w:eastAsia="黑体" w:cs="黑体"/>
          <w:b w:val="0"/>
          <w:bCs/>
          <w:sz w:val="32"/>
          <w:szCs w:val="30"/>
        </w:rPr>
      </w:pPr>
      <w:r>
        <w:rPr>
          <w:rFonts w:hint="eastAsia" w:ascii="黑体" w:hAnsi="黑体" w:eastAsia="黑体" w:cs="黑体"/>
          <w:b w:val="0"/>
          <w:bCs/>
          <w:kern w:val="0"/>
          <w:sz w:val="32"/>
          <w:szCs w:val="32"/>
        </w:rPr>
        <w:t>二、</w:t>
      </w:r>
      <w:r>
        <w:rPr>
          <w:rFonts w:hint="eastAsia" w:ascii="黑体" w:hAnsi="黑体" w:eastAsia="黑体" w:cs="黑体"/>
          <w:b w:val="0"/>
          <w:bCs/>
          <w:sz w:val="32"/>
          <w:szCs w:val="30"/>
          <w:lang w:eastAsia="zh-CN"/>
        </w:rPr>
        <w:t>202</w:t>
      </w:r>
      <w:r>
        <w:rPr>
          <w:rFonts w:hint="eastAsia" w:ascii="黑体" w:hAnsi="黑体" w:eastAsia="黑体" w:cs="黑体"/>
          <w:b w:val="0"/>
          <w:bCs/>
          <w:sz w:val="32"/>
          <w:szCs w:val="30"/>
          <w:lang w:val="en-US" w:eastAsia="zh-CN"/>
        </w:rPr>
        <w:t>4</w:t>
      </w:r>
      <w:r>
        <w:rPr>
          <w:rFonts w:hint="eastAsia" w:ascii="黑体" w:hAnsi="黑体" w:eastAsia="黑体" w:cs="黑体"/>
          <w:b w:val="0"/>
          <w:bCs/>
          <w:sz w:val="32"/>
          <w:szCs w:val="30"/>
        </w:rPr>
        <w:t>年“三公”经费预算情况说明</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kern w:val="2"/>
          <w:sz w:val="32"/>
          <w:szCs w:val="30"/>
          <w:lang w:val="en-US" w:eastAsia="zh-CN"/>
        </w:rPr>
      </w:pPr>
      <w:r>
        <w:rPr>
          <w:rFonts w:hint="eastAsia" w:ascii="仿宋" w:hAnsi="仿宋" w:eastAsia="仿宋" w:cs="仿宋"/>
          <w:kern w:val="2"/>
          <w:sz w:val="32"/>
          <w:szCs w:val="30"/>
          <w:lang w:val="en-US" w:eastAsia="zh-CN"/>
        </w:rPr>
        <w:t>2024年赣州市南康区财政公共服务中心"三公"经费一般公共预算安排0万元，较上年减少0万元，其中：</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kern w:val="2"/>
          <w:sz w:val="32"/>
          <w:szCs w:val="30"/>
          <w:lang w:val="en-US" w:eastAsia="zh-CN"/>
        </w:rPr>
      </w:pPr>
      <w:r>
        <w:rPr>
          <w:rFonts w:hint="eastAsia" w:ascii="仿宋" w:hAnsi="仿宋" w:eastAsia="仿宋" w:cs="仿宋"/>
          <w:kern w:val="2"/>
          <w:sz w:val="32"/>
          <w:szCs w:val="30"/>
          <w:lang w:val="en-US" w:eastAsia="zh-CN"/>
        </w:rPr>
        <w:t>因公出国0万元，比上年增加（减少）0万元，主要原因是：2024年度无因公出国计划。</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kern w:val="2"/>
          <w:sz w:val="32"/>
          <w:szCs w:val="30"/>
          <w:lang w:val="en-US" w:eastAsia="zh-CN"/>
        </w:rPr>
      </w:pPr>
      <w:r>
        <w:rPr>
          <w:rFonts w:hint="eastAsia" w:ascii="仿宋" w:hAnsi="仿宋" w:eastAsia="仿宋" w:cs="仿宋"/>
          <w:kern w:val="2"/>
          <w:sz w:val="32"/>
          <w:szCs w:val="30"/>
          <w:lang w:val="en-US" w:eastAsia="zh-CN"/>
        </w:rPr>
        <w:t>公务接待0万元，比上年减少0万元，主要原因是：2024年度公务接待费由区财政局统一管理。</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kern w:val="2"/>
          <w:sz w:val="32"/>
          <w:szCs w:val="30"/>
          <w:lang w:val="en-US" w:eastAsia="zh-CN"/>
        </w:rPr>
      </w:pPr>
      <w:r>
        <w:rPr>
          <w:rFonts w:hint="eastAsia" w:ascii="仿宋" w:hAnsi="仿宋" w:eastAsia="仿宋" w:cs="仿宋"/>
          <w:kern w:val="2"/>
          <w:sz w:val="32"/>
          <w:szCs w:val="30"/>
          <w:lang w:val="en-US" w:eastAsia="zh-CN"/>
        </w:rPr>
        <w:t>公务用车运行0万元，比上年增（减）0万元，主要原因是：本单位无公车。</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kern w:val="2"/>
          <w:sz w:val="32"/>
          <w:szCs w:val="30"/>
          <w:lang w:eastAsia="zh-CN"/>
        </w:rPr>
      </w:pPr>
      <w:r>
        <w:rPr>
          <w:rFonts w:hint="eastAsia" w:ascii="仿宋" w:hAnsi="仿宋" w:eastAsia="仿宋" w:cs="仿宋"/>
          <w:kern w:val="2"/>
          <w:sz w:val="32"/>
          <w:szCs w:val="30"/>
          <w:lang w:val="en-US" w:eastAsia="zh-CN"/>
        </w:rPr>
        <w:t>公务用车购置0万元，比上年增（减）0万元，主要原因是：2024年度无购置公车计划。</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center"/>
        <w:textAlignment w:val="auto"/>
        <w:rPr>
          <w:rFonts w:hint="eastAsia" w:ascii="黑体" w:hAnsi="黑体" w:eastAsia="黑体" w:cs="黑体"/>
          <w:b w:val="0"/>
          <w:bCs/>
          <w:sz w:val="32"/>
          <w:szCs w:val="30"/>
        </w:rPr>
      </w:pP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center"/>
        <w:textAlignment w:val="auto"/>
        <w:rPr>
          <w:rFonts w:hint="eastAsia" w:ascii="黑体" w:hAnsi="黑体" w:eastAsia="黑体" w:cs="黑体"/>
          <w:b w:val="0"/>
          <w:bCs/>
          <w:sz w:val="32"/>
          <w:szCs w:val="30"/>
        </w:rPr>
      </w:pP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center"/>
        <w:textAlignment w:val="auto"/>
        <w:rPr>
          <w:rFonts w:hint="eastAsia" w:ascii="黑体" w:hAnsi="黑体" w:eastAsia="黑体" w:cs="黑体"/>
          <w:b w:val="0"/>
          <w:bCs/>
          <w:sz w:val="32"/>
          <w:szCs w:val="30"/>
        </w:rPr>
      </w:pPr>
      <w:r>
        <w:rPr>
          <w:rFonts w:hint="eastAsia" w:ascii="黑体" w:hAnsi="黑体" w:eastAsia="黑体" w:cs="黑体"/>
          <w:b w:val="0"/>
          <w:bCs/>
          <w:sz w:val="32"/>
          <w:szCs w:val="30"/>
        </w:rPr>
        <w:t>第四部分   名词解释</w:t>
      </w:r>
    </w:p>
    <w:p>
      <w:pPr>
        <w:keepNext w:val="0"/>
        <w:keepLines w:val="0"/>
        <w:pageBreakBefore w:val="0"/>
        <w:widowControl/>
        <w:shd w:val="clear" w:color="auto" w:fill="FFFFFF"/>
        <w:kinsoku/>
        <w:wordWrap/>
        <w:overflowPunct/>
        <w:topLinePunct w:val="0"/>
        <w:autoSpaceDE/>
        <w:autoSpaceDN/>
        <w:bidi w:val="0"/>
        <w:spacing w:line="520" w:lineRule="exact"/>
        <w:ind w:firstLine="800" w:firstLineChars="250"/>
        <w:jc w:val="left"/>
        <w:textAlignment w:val="auto"/>
        <w:rPr>
          <w:rFonts w:hint="eastAsia" w:ascii="黑体" w:hAnsi="黑体" w:eastAsia="黑体" w:cs="黑体"/>
          <w:b w:val="0"/>
          <w:bCs w:val="0"/>
          <w:sz w:val="32"/>
          <w:szCs w:val="32"/>
        </w:rPr>
      </w:pPr>
    </w:p>
    <w:p>
      <w:pPr>
        <w:keepNext w:val="0"/>
        <w:keepLines w:val="0"/>
        <w:pageBreakBefore w:val="0"/>
        <w:widowControl/>
        <w:shd w:val="clear" w:color="auto" w:fill="FFFFFF"/>
        <w:kinsoku/>
        <w:wordWrap/>
        <w:overflowPunct/>
        <w:topLinePunct w:val="0"/>
        <w:autoSpaceDE/>
        <w:autoSpaceDN/>
        <w:bidi w:val="0"/>
        <w:spacing w:line="52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一、收入科目</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3" w:firstLineChars="200"/>
        <w:jc w:val="left"/>
        <w:textAlignment w:val="auto"/>
        <w:outlineLvl w:val="9"/>
        <w:rPr>
          <w:rFonts w:hint="eastAsia" w:ascii="仿宋" w:hAnsi="仿宋" w:eastAsia="仿宋" w:cs="仿宋"/>
          <w:kern w:val="2"/>
          <w:sz w:val="32"/>
          <w:szCs w:val="30"/>
          <w:lang w:eastAsia="zh-CN"/>
        </w:rPr>
      </w:pPr>
      <w:r>
        <w:rPr>
          <w:rStyle w:val="7"/>
          <w:rFonts w:hint="eastAsia" w:ascii="楷体" w:hAnsi="楷体" w:eastAsia="楷体" w:cs="楷体"/>
          <w:b/>
          <w:kern w:val="2"/>
          <w:sz w:val="32"/>
          <w:szCs w:val="32"/>
          <w:lang w:val="en-US" w:eastAsia="zh-CN" w:bidi="ar-SA"/>
        </w:rPr>
        <w:t>（一）财政拨款：</w:t>
      </w:r>
      <w:r>
        <w:rPr>
          <w:rFonts w:hint="eastAsia" w:ascii="仿宋" w:hAnsi="仿宋" w:eastAsia="仿宋" w:cs="仿宋"/>
          <w:kern w:val="2"/>
          <w:sz w:val="32"/>
          <w:szCs w:val="30"/>
          <w:lang w:eastAsia="zh-CN"/>
        </w:rPr>
        <w:t>指</w:t>
      </w:r>
      <w:r>
        <w:rPr>
          <w:rFonts w:hint="eastAsia" w:ascii="仿宋" w:hAnsi="仿宋" w:eastAsia="仿宋" w:cs="仿宋"/>
          <w:kern w:val="2"/>
          <w:sz w:val="32"/>
          <w:szCs w:val="30"/>
          <w:lang w:val="en-US" w:eastAsia="zh-CN"/>
        </w:rPr>
        <w:t>区</w:t>
      </w:r>
      <w:r>
        <w:rPr>
          <w:rFonts w:hint="eastAsia" w:ascii="仿宋" w:hAnsi="仿宋" w:eastAsia="仿宋" w:cs="仿宋"/>
          <w:kern w:val="2"/>
          <w:sz w:val="32"/>
          <w:szCs w:val="30"/>
          <w:lang w:eastAsia="zh-CN"/>
        </w:rPr>
        <w:t>级财政当年拨付的资金。</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3" w:firstLineChars="200"/>
        <w:jc w:val="left"/>
        <w:textAlignment w:val="auto"/>
        <w:outlineLvl w:val="9"/>
        <w:rPr>
          <w:rFonts w:hint="eastAsia" w:ascii="仿宋" w:hAnsi="仿宋" w:eastAsia="仿宋" w:cs="仿宋"/>
          <w:kern w:val="2"/>
          <w:sz w:val="32"/>
          <w:szCs w:val="30"/>
          <w:lang w:eastAsia="zh-CN"/>
        </w:rPr>
      </w:pPr>
      <w:r>
        <w:rPr>
          <w:rFonts w:hint="eastAsia" w:ascii="楷体" w:hAnsi="楷体" w:eastAsia="楷体" w:cs="楷体"/>
          <w:b/>
          <w:bCs/>
          <w:kern w:val="2"/>
          <w:sz w:val="32"/>
          <w:szCs w:val="30"/>
          <w:lang w:eastAsia="zh-CN"/>
        </w:rPr>
        <w:t>（二）事业收入：</w:t>
      </w:r>
      <w:r>
        <w:rPr>
          <w:rFonts w:hint="eastAsia" w:ascii="仿宋" w:hAnsi="仿宋" w:eastAsia="仿宋" w:cs="仿宋"/>
          <w:kern w:val="2"/>
          <w:sz w:val="32"/>
          <w:szCs w:val="30"/>
          <w:lang w:eastAsia="zh-CN"/>
        </w:rPr>
        <w:t>指事业单位开展专业业务活动及辅助活动取得的收入。</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3" w:firstLineChars="200"/>
        <w:jc w:val="left"/>
        <w:textAlignment w:val="auto"/>
        <w:outlineLvl w:val="9"/>
        <w:rPr>
          <w:rFonts w:hint="eastAsia" w:ascii="仿宋" w:hAnsi="仿宋" w:eastAsia="仿宋" w:cs="仿宋"/>
          <w:kern w:val="2"/>
          <w:sz w:val="32"/>
          <w:szCs w:val="30"/>
          <w:lang w:eastAsia="zh-CN"/>
        </w:rPr>
      </w:pPr>
      <w:r>
        <w:rPr>
          <w:rFonts w:hint="eastAsia" w:ascii="楷体" w:hAnsi="楷体" w:eastAsia="楷体" w:cs="楷体"/>
          <w:b/>
          <w:bCs/>
          <w:kern w:val="2"/>
          <w:sz w:val="32"/>
          <w:szCs w:val="30"/>
          <w:lang w:eastAsia="zh-CN"/>
        </w:rPr>
        <w:t>（三）事业单位经营收入：</w:t>
      </w:r>
      <w:r>
        <w:rPr>
          <w:rFonts w:hint="eastAsia" w:ascii="仿宋" w:hAnsi="仿宋" w:eastAsia="仿宋" w:cs="仿宋"/>
          <w:kern w:val="2"/>
          <w:sz w:val="32"/>
          <w:szCs w:val="30"/>
          <w:lang w:eastAsia="zh-CN"/>
        </w:rPr>
        <w:t>指事业单位在专业业务活动及辅助活动之外开展非独立核算经营活动取得的收入。</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3" w:firstLineChars="200"/>
        <w:jc w:val="left"/>
        <w:textAlignment w:val="auto"/>
        <w:outlineLvl w:val="9"/>
        <w:rPr>
          <w:rFonts w:hint="eastAsia" w:ascii="仿宋" w:hAnsi="仿宋" w:eastAsia="仿宋" w:cs="仿宋"/>
          <w:kern w:val="2"/>
          <w:sz w:val="32"/>
          <w:szCs w:val="30"/>
          <w:lang w:eastAsia="zh-CN"/>
        </w:rPr>
      </w:pPr>
      <w:r>
        <w:rPr>
          <w:rStyle w:val="7"/>
          <w:rFonts w:hint="eastAsia" w:ascii="楷体" w:hAnsi="楷体" w:eastAsia="楷体" w:cs="楷体"/>
          <w:b/>
          <w:kern w:val="2"/>
          <w:sz w:val="32"/>
          <w:szCs w:val="32"/>
          <w:lang w:val="en-US" w:eastAsia="zh-CN" w:bidi="ar-SA"/>
        </w:rPr>
        <w:t>（四）附属单位上缴收入：</w:t>
      </w:r>
      <w:r>
        <w:rPr>
          <w:rFonts w:hint="eastAsia" w:ascii="仿宋" w:hAnsi="仿宋" w:eastAsia="仿宋" w:cs="仿宋"/>
          <w:kern w:val="2"/>
          <w:sz w:val="32"/>
          <w:szCs w:val="30"/>
          <w:lang w:eastAsia="zh-CN"/>
        </w:rPr>
        <w:t>反映事业单位附属的独立核算单位按规定标准或比例缴纳的各项收入。包括附属的事业单位上缴的收入和附属的企业上缴的利润等。</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3" w:firstLineChars="200"/>
        <w:jc w:val="left"/>
        <w:textAlignment w:val="auto"/>
        <w:outlineLvl w:val="9"/>
        <w:rPr>
          <w:rFonts w:hint="eastAsia" w:ascii="仿宋" w:hAnsi="仿宋" w:eastAsia="仿宋" w:cs="仿宋"/>
          <w:kern w:val="2"/>
          <w:sz w:val="32"/>
          <w:szCs w:val="30"/>
          <w:lang w:eastAsia="zh-CN"/>
        </w:rPr>
      </w:pPr>
      <w:r>
        <w:rPr>
          <w:rFonts w:hint="eastAsia" w:ascii="楷体" w:hAnsi="楷体" w:eastAsia="楷体" w:cs="楷体"/>
          <w:b/>
          <w:bCs/>
          <w:kern w:val="2"/>
          <w:sz w:val="32"/>
          <w:szCs w:val="30"/>
          <w:lang w:eastAsia="zh-CN"/>
        </w:rPr>
        <w:t>（五）上级补助收入：</w:t>
      </w:r>
      <w:r>
        <w:rPr>
          <w:rFonts w:hint="eastAsia" w:ascii="仿宋" w:hAnsi="仿宋" w:eastAsia="仿宋" w:cs="仿宋"/>
          <w:kern w:val="2"/>
          <w:sz w:val="32"/>
          <w:szCs w:val="30"/>
          <w:lang w:eastAsia="zh-CN"/>
        </w:rPr>
        <w:t>反映事业单位从主管部门和上级单位取得的非财政补助收入。</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3" w:firstLineChars="200"/>
        <w:jc w:val="left"/>
        <w:textAlignment w:val="auto"/>
        <w:outlineLvl w:val="9"/>
        <w:rPr>
          <w:rFonts w:hint="eastAsia" w:ascii="仿宋" w:hAnsi="仿宋" w:eastAsia="仿宋" w:cs="仿宋"/>
          <w:kern w:val="2"/>
          <w:sz w:val="32"/>
          <w:szCs w:val="30"/>
          <w:lang w:eastAsia="zh-CN"/>
        </w:rPr>
      </w:pPr>
      <w:r>
        <w:rPr>
          <w:rFonts w:hint="eastAsia" w:ascii="楷体" w:hAnsi="楷体" w:eastAsia="楷体" w:cs="楷体"/>
          <w:b/>
          <w:bCs/>
          <w:kern w:val="2"/>
          <w:sz w:val="32"/>
          <w:szCs w:val="30"/>
          <w:lang w:eastAsia="zh-CN"/>
        </w:rPr>
        <w:t>（六）其他收入：</w:t>
      </w:r>
      <w:r>
        <w:rPr>
          <w:rFonts w:hint="eastAsia" w:ascii="仿宋" w:hAnsi="仿宋" w:eastAsia="仿宋" w:cs="仿宋"/>
          <w:kern w:val="2"/>
          <w:sz w:val="32"/>
          <w:szCs w:val="30"/>
          <w:lang w:eastAsia="zh-CN"/>
        </w:rPr>
        <w:t>指除财政拨款、事业收入、事业单位经营收入等以外的各项收入。</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3" w:firstLineChars="200"/>
        <w:jc w:val="left"/>
        <w:textAlignment w:val="auto"/>
        <w:outlineLvl w:val="9"/>
        <w:rPr>
          <w:rFonts w:hint="eastAsia" w:ascii="仿宋" w:hAnsi="仿宋" w:eastAsia="仿宋" w:cs="仿宋"/>
          <w:kern w:val="2"/>
          <w:sz w:val="32"/>
          <w:szCs w:val="30"/>
          <w:lang w:eastAsia="zh-CN"/>
        </w:rPr>
      </w:pPr>
      <w:r>
        <w:rPr>
          <w:rFonts w:hint="eastAsia" w:ascii="楷体" w:hAnsi="楷体" w:eastAsia="楷体" w:cs="楷体"/>
          <w:b/>
          <w:bCs/>
          <w:kern w:val="2"/>
          <w:sz w:val="32"/>
          <w:szCs w:val="30"/>
          <w:lang w:eastAsia="zh-CN"/>
        </w:rPr>
        <w:t>（七）上年结转和结余</w:t>
      </w:r>
      <w:r>
        <w:rPr>
          <w:rFonts w:hint="eastAsia" w:ascii="仿宋" w:hAnsi="仿宋" w:eastAsia="仿宋" w:cs="仿宋"/>
          <w:kern w:val="2"/>
          <w:sz w:val="32"/>
          <w:szCs w:val="30"/>
          <w:lang w:eastAsia="zh-CN"/>
        </w:rPr>
        <w:t>：填列202</w:t>
      </w:r>
      <w:r>
        <w:rPr>
          <w:rFonts w:hint="eastAsia" w:ascii="仿宋" w:hAnsi="仿宋" w:eastAsia="仿宋" w:cs="仿宋"/>
          <w:kern w:val="2"/>
          <w:sz w:val="32"/>
          <w:szCs w:val="30"/>
          <w:lang w:val="en-US" w:eastAsia="zh-CN"/>
        </w:rPr>
        <w:t>3</w:t>
      </w:r>
      <w:r>
        <w:rPr>
          <w:rFonts w:hint="eastAsia" w:ascii="仿宋" w:hAnsi="仿宋" w:eastAsia="仿宋" w:cs="仿宋"/>
          <w:kern w:val="2"/>
          <w:sz w:val="32"/>
          <w:szCs w:val="30"/>
          <w:lang w:eastAsia="zh-CN"/>
        </w:rPr>
        <w:t>年全部结转和结余的资金数，包括当年结转结余资金和历年滚存结转结余资金。</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二、支出科目</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3" w:firstLineChars="200"/>
        <w:jc w:val="left"/>
        <w:textAlignment w:val="auto"/>
        <w:outlineLvl w:val="9"/>
        <w:rPr>
          <w:rFonts w:hint="eastAsia" w:ascii="仿宋" w:hAnsi="仿宋" w:eastAsia="仿宋" w:cs="仿宋"/>
          <w:kern w:val="2"/>
          <w:sz w:val="32"/>
          <w:szCs w:val="30"/>
          <w:lang w:eastAsia="zh-CN"/>
        </w:rPr>
      </w:pPr>
      <w:r>
        <w:rPr>
          <w:rFonts w:hint="eastAsia" w:ascii="楷体" w:hAnsi="楷体" w:eastAsia="楷体" w:cs="楷体"/>
          <w:b/>
          <w:bCs/>
          <w:kern w:val="2"/>
          <w:sz w:val="32"/>
          <w:szCs w:val="30"/>
          <w:lang w:eastAsia="zh-CN"/>
        </w:rPr>
        <w:t>（一）行政运行：</w:t>
      </w:r>
      <w:r>
        <w:rPr>
          <w:rFonts w:hint="eastAsia" w:ascii="仿宋" w:hAnsi="仿宋" w:eastAsia="仿宋" w:cs="仿宋"/>
          <w:kern w:val="2"/>
          <w:sz w:val="32"/>
          <w:szCs w:val="30"/>
          <w:lang w:eastAsia="zh-CN"/>
        </w:rPr>
        <w:t>反映行政单位（包括实行公务员管理的事业单位）的基本支出。</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3" w:firstLineChars="200"/>
        <w:jc w:val="left"/>
        <w:textAlignment w:val="auto"/>
        <w:outlineLvl w:val="9"/>
        <w:rPr>
          <w:rFonts w:hint="eastAsia" w:ascii="仿宋" w:hAnsi="仿宋" w:eastAsia="仿宋" w:cs="仿宋"/>
          <w:kern w:val="2"/>
          <w:sz w:val="32"/>
          <w:szCs w:val="30"/>
          <w:lang w:eastAsia="zh-CN"/>
        </w:rPr>
      </w:pPr>
      <w:r>
        <w:rPr>
          <w:rFonts w:hint="eastAsia" w:ascii="楷体" w:hAnsi="楷体" w:eastAsia="楷体" w:cs="楷体"/>
          <w:b/>
          <w:bCs/>
          <w:kern w:val="2"/>
          <w:sz w:val="32"/>
          <w:szCs w:val="30"/>
          <w:lang w:eastAsia="zh-CN"/>
        </w:rPr>
        <w:t>（二）一般行政管理事务：</w:t>
      </w:r>
      <w:r>
        <w:rPr>
          <w:rFonts w:hint="eastAsia" w:ascii="仿宋" w:hAnsi="仿宋" w:eastAsia="仿宋" w:cs="仿宋"/>
          <w:kern w:val="2"/>
          <w:sz w:val="32"/>
          <w:szCs w:val="30"/>
          <w:lang w:eastAsia="zh-CN"/>
        </w:rPr>
        <w:t>反映行政单位（包括实行公</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jc w:val="left"/>
        <w:textAlignment w:val="auto"/>
        <w:outlineLvl w:val="9"/>
        <w:rPr>
          <w:rFonts w:hint="eastAsia" w:ascii="仿宋" w:hAnsi="仿宋" w:eastAsia="仿宋" w:cs="仿宋"/>
          <w:kern w:val="2"/>
          <w:sz w:val="32"/>
          <w:szCs w:val="30"/>
          <w:lang w:eastAsia="zh-CN"/>
        </w:rPr>
      </w:pPr>
      <w:r>
        <w:rPr>
          <w:rFonts w:hint="eastAsia" w:ascii="仿宋" w:hAnsi="仿宋" w:eastAsia="仿宋" w:cs="仿宋"/>
          <w:kern w:val="2"/>
          <w:sz w:val="32"/>
          <w:szCs w:val="30"/>
          <w:lang w:eastAsia="zh-CN"/>
        </w:rPr>
        <w:t>务员管理的事业单位）未单独设置项级科目的其他项目支出。</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3" w:firstLineChars="200"/>
        <w:jc w:val="left"/>
        <w:textAlignment w:val="auto"/>
        <w:outlineLvl w:val="9"/>
        <w:rPr>
          <w:rFonts w:hint="eastAsia" w:ascii="仿宋" w:hAnsi="仿宋" w:eastAsia="仿宋" w:cs="仿宋"/>
          <w:kern w:val="2"/>
          <w:sz w:val="32"/>
          <w:szCs w:val="30"/>
          <w:lang w:eastAsia="zh-CN"/>
        </w:rPr>
      </w:pPr>
      <w:r>
        <w:rPr>
          <w:rFonts w:hint="eastAsia" w:ascii="楷体" w:hAnsi="楷体" w:eastAsia="楷体" w:cs="楷体"/>
          <w:b/>
          <w:bCs/>
          <w:kern w:val="2"/>
          <w:sz w:val="32"/>
          <w:szCs w:val="30"/>
          <w:lang w:eastAsia="zh-CN"/>
        </w:rPr>
        <w:t>（三）财政国库业务：</w:t>
      </w:r>
      <w:r>
        <w:rPr>
          <w:rFonts w:hint="eastAsia" w:ascii="仿宋" w:hAnsi="仿宋" w:eastAsia="仿宋" w:cs="仿宋"/>
          <w:kern w:val="2"/>
          <w:sz w:val="32"/>
          <w:szCs w:val="30"/>
          <w:lang w:eastAsia="zh-CN"/>
        </w:rPr>
        <w:t>反映财政部门用于财政国库集中支出收付业务方面的支出。</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3" w:firstLineChars="200"/>
        <w:jc w:val="left"/>
        <w:textAlignment w:val="auto"/>
        <w:outlineLvl w:val="9"/>
        <w:rPr>
          <w:rFonts w:hint="eastAsia" w:ascii="仿宋" w:hAnsi="仿宋" w:eastAsia="仿宋" w:cs="仿宋"/>
          <w:kern w:val="2"/>
          <w:sz w:val="32"/>
          <w:szCs w:val="30"/>
          <w:lang w:eastAsia="zh-CN"/>
        </w:rPr>
      </w:pPr>
      <w:r>
        <w:rPr>
          <w:rFonts w:hint="eastAsia" w:ascii="楷体" w:hAnsi="楷体" w:eastAsia="楷体" w:cs="楷体"/>
          <w:b/>
          <w:bCs/>
          <w:kern w:val="2"/>
          <w:sz w:val="32"/>
          <w:szCs w:val="30"/>
          <w:lang w:eastAsia="zh-CN"/>
        </w:rPr>
        <w:t>（四）信息化建设：</w:t>
      </w:r>
      <w:r>
        <w:rPr>
          <w:rFonts w:hint="eastAsia" w:ascii="仿宋" w:hAnsi="仿宋" w:eastAsia="仿宋" w:cs="仿宋"/>
          <w:kern w:val="2"/>
          <w:sz w:val="32"/>
          <w:szCs w:val="30"/>
          <w:lang w:eastAsia="zh-CN"/>
        </w:rPr>
        <w:t>反映财政部门用于信息化建设方面的支出。</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3" w:firstLineChars="200"/>
        <w:jc w:val="left"/>
        <w:textAlignment w:val="auto"/>
        <w:outlineLvl w:val="9"/>
        <w:rPr>
          <w:rFonts w:hint="eastAsia" w:ascii="仿宋" w:hAnsi="仿宋" w:eastAsia="仿宋" w:cs="仿宋"/>
          <w:kern w:val="2"/>
          <w:sz w:val="32"/>
          <w:szCs w:val="30"/>
          <w:lang w:eastAsia="zh-CN"/>
        </w:rPr>
      </w:pPr>
      <w:r>
        <w:rPr>
          <w:rFonts w:hint="eastAsia" w:ascii="楷体" w:hAnsi="楷体" w:eastAsia="楷体" w:cs="楷体"/>
          <w:b/>
          <w:bCs/>
          <w:kern w:val="2"/>
          <w:sz w:val="32"/>
          <w:szCs w:val="30"/>
          <w:lang w:eastAsia="zh-CN"/>
        </w:rPr>
        <w:t>（五）事业运行：</w:t>
      </w:r>
      <w:r>
        <w:rPr>
          <w:rFonts w:hint="eastAsia" w:ascii="仿宋" w:hAnsi="仿宋" w:eastAsia="仿宋" w:cs="仿宋"/>
          <w:kern w:val="2"/>
          <w:sz w:val="32"/>
          <w:szCs w:val="30"/>
          <w:lang w:eastAsia="zh-CN"/>
        </w:rPr>
        <w:t>反映事业单位的基本支出。</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3" w:firstLineChars="200"/>
        <w:jc w:val="left"/>
        <w:textAlignment w:val="auto"/>
        <w:outlineLvl w:val="9"/>
        <w:rPr>
          <w:rFonts w:hint="eastAsia" w:ascii="仿宋" w:hAnsi="仿宋" w:eastAsia="仿宋" w:cs="仿宋"/>
          <w:kern w:val="2"/>
          <w:sz w:val="32"/>
          <w:szCs w:val="30"/>
          <w:lang w:eastAsia="zh-CN"/>
        </w:rPr>
      </w:pPr>
      <w:r>
        <w:rPr>
          <w:rFonts w:hint="eastAsia" w:ascii="楷体" w:hAnsi="楷体" w:eastAsia="楷体" w:cs="楷体"/>
          <w:b/>
          <w:bCs/>
          <w:kern w:val="2"/>
          <w:sz w:val="32"/>
          <w:szCs w:val="30"/>
          <w:lang w:eastAsia="zh-CN"/>
        </w:rPr>
        <w:t>（六）其他财政事务支出：</w:t>
      </w:r>
      <w:r>
        <w:rPr>
          <w:rFonts w:hint="eastAsia" w:ascii="仿宋" w:hAnsi="仿宋" w:eastAsia="仿宋" w:cs="仿宋"/>
          <w:kern w:val="2"/>
          <w:sz w:val="32"/>
          <w:szCs w:val="30"/>
          <w:lang w:eastAsia="zh-CN"/>
        </w:rPr>
        <w:t>反映除上述项目以外的其他财政事务方面的支出。</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3" w:firstLineChars="200"/>
        <w:jc w:val="left"/>
        <w:textAlignment w:val="auto"/>
        <w:outlineLvl w:val="9"/>
        <w:rPr>
          <w:rFonts w:hint="eastAsia" w:ascii="仿宋" w:hAnsi="仿宋" w:eastAsia="仿宋" w:cs="仿宋"/>
          <w:kern w:val="2"/>
          <w:sz w:val="32"/>
          <w:szCs w:val="30"/>
          <w:lang w:eastAsia="zh-CN"/>
        </w:rPr>
      </w:pPr>
      <w:r>
        <w:rPr>
          <w:rFonts w:hint="eastAsia" w:ascii="楷体" w:hAnsi="楷体" w:eastAsia="楷体" w:cs="楷体"/>
          <w:b/>
          <w:bCs/>
          <w:kern w:val="2"/>
          <w:sz w:val="32"/>
          <w:szCs w:val="30"/>
          <w:lang w:eastAsia="zh-CN"/>
        </w:rPr>
        <w:t>（七）机关事业单位基本养老保险缴费支出：</w:t>
      </w:r>
      <w:r>
        <w:rPr>
          <w:rFonts w:hint="eastAsia" w:ascii="仿宋" w:hAnsi="仿宋" w:eastAsia="仿宋" w:cs="仿宋"/>
          <w:kern w:val="2"/>
          <w:sz w:val="32"/>
          <w:szCs w:val="30"/>
          <w:lang w:eastAsia="zh-CN"/>
        </w:rPr>
        <w:t>反映机关事业单位实施养老保险制度由单位缴纳的基本养老保险费的支出。</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3" w:firstLineChars="200"/>
        <w:jc w:val="left"/>
        <w:textAlignment w:val="auto"/>
        <w:outlineLvl w:val="9"/>
        <w:rPr>
          <w:rFonts w:hint="eastAsia" w:ascii="仿宋" w:hAnsi="仿宋" w:eastAsia="仿宋" w:cs="仿宋"/>
          <w:kern w:val="2"/>
          <w:sz w:val="32"/>
          <w:szCs w:val="30"/>
          <w:lang w:eastAsia="zh-CN"/>
        </w:rPr>
      </w:pPr>
      <w:r>
        <w:rPr>
          <w:rFonts w:hint="eastAsia" w:ascii="楷体" w:hAnsi="楷体" w:eastAsia="楷体" w:cs="楷体"/>
          <w:b/>
          <w:bCs/>
          <w:kern w:val="2"/>
          <w:sz w:val="32"/>
          <w:szCs w:val="30"/>
          <w:lang w:eastAsia="zh-CN"/>
        </w:rPr>
        <w:t>（八）其他社会保障和就业支出：</w:t>
      </w:r>
      <w:r>
        <w:rPr>
          <w:rFonts w:hint="eastAsia" w:ascii="仿宋" w:hAnsi="仿宋" w:eastAsia="仿宋" w:cs="仿宋"/>
          <w:kern w:val="2"/>
          <w:sz w:val="32"/>
          <w:szCs w:val="30"/>
          <w:lang w:eastAsia="zh-CN"/>
        </w:rPr>
        <w:t>反映除上述项目以外其他用于社会保障和就业方面的支出。</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3" w:firstLineChars="200"/>
        <w:jc w:val="left"/>
        <w:textAlignment w:val="auto"/>
        <w:outlineLvl w:val="9"/>
        <w:rPr>
          <w:rFonts w:hint="eastAsia" w:ascii="仿宋" w:hAnsi="仿宋" w:eastAsia="仿宋" w:cs="仿宋"/>
          <w:kern w:val="2"/>
          <w:sz w:val="32"/>
          <w:szCs w:val="30"/>
          <w:lang w:eastAsia="zh-CN"/>
        </w:rPr>
      </w:pPr>
      <w:r>
        <w:rPr>
          <w:rFonts w:hint="eastAsia" w:ascii="楷体" w:hAnsi="楷体" w:eastAsia="楷体" w:cs="楷体"/>
          <w:b/>
          <w:bCs/>
          <w:kern w:val="2"/>
          <w:sz w:val="32"/>
          <w:szCs w:val="30"/>
          <w:lang w:eastAsia="zh-CN"/>
        </w:rPr>
        <w:t>（九）行政单位医疗：</w:t>
      </w:r>
      <w:r>
        <w:rPr>
          <w:rFonts w:hint="eastAsia" w:ascii="仿宋" w:hAnsi="仿宋" w:eastAsia="仿宋" w:cs="仿宋"/>
          <w:kern w:val="2"/>
          <w:sz w:val="32"/>
          <w:szCs w:val="30"/>
          <w:lang w:eastAsia="zh-CN"/>
        </w:rPr>
        <w:t>反映财政部门安排的行政单位（包括实行公务员管理的事业单位）基本医疗保险缴费经费。</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3" w:firstLineChars="200"/>
        <w:jc w:val="left"/>
        <w:textAlignment w:val="auto"/>
        <w:outlineLvl w:val="9"/>
        <w:rPr>
          <w:rFonts w:hint="eastAsia" w:ascii="仿宋" w:hAnsi="仿宋" w:eastAsia="仿宋" w:cs="仿宋"/>
          <w:kern w:val="2"/>
          <w:sz w:val="32"/>
          <w:szCs w:val="30"/>
          <w:lang w:eastAsia="zh-CN"/>
        </w:rPr>
      </w:pPr>
      <w:r>
        <w:rPr>
          <w:rFonts w:hint="eastAsia" w:ascii="楷体" w:hAnsi="楷体" w:eastAsia="楷体" w:cs="楷体"/>
          <w:b/>
          <w:bCs/>
          <w:kern w:val="2"/>
          <w:sz w:val="32"/>
          <w:szCs w:val="30"/>
          <w:lang w:eastAsia="zh-CN"/>
        </w:rPr>
        <w:t>（十）事业单位医疗：</w:t>
      </w:r>
      <w:r>
        <w:rPr>
          <w:rFonts w:hint="eastAsia" w:ascii="仿宋" w:hAnsi="仿宋" w:eastAsia="仿宋" w:cs="仿宋"/>
          <w:kern w:val="2"/>
          <w:sz w:val="32"/>
          <w:szCs w:val="30"/>
          <w:lang w:eastAsia="zh-CN"/>
        </w:rPr>
        <w:t>反映财政部门安排的事业单位基本医疗保险缴费经费。</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3" w:firstLineChars="200"/>
        <w:jc w:val="left"/>
        <w:textAlignment w:val="auto"/>
        <w:outlineLvl w:val="9"/>
        <w:rPr>
          <w:rFonts w:hint="eastAsia" w:ascii="仿宋" w:hAnsi="仿宋" w:eastAsia="仿宋" w:cs="仿宋"/>
          <w:kern w:val="2"/>
          <w:sz w:val="32"/>
          <w:szCs w:val="30"/>
          <w:lang w:eastAsia="zh-CN"/>
        </w:rPr>
      </w:pPr>
      <w:r>
        <w:rPr>
          <w:rFonts w:hint="eastAsia" w:ascii="楷体" w:hAnsi="楷体" w:eastAsia="楷体" w:cs="楷体"/>
          <w:b/>
          <w:bCs/>
          <w:kern w:val="2"/>
          <w:sz w:val="32"/>
          <w:szCs w:val="30"/>
          <w:lang w:eastAsia="zh-CN"/>
        </w:rPr>
        <w:t>（十一）公务员医疗补助：</w:t>
      </w:r>
      <w:r>
        <w:rPr>
          <w:rFonts w:hint="eastAsia" w:ascii="仿宋" w:hAnsi="仿宋" w:eastAsia="仿宋" w:cs="仿宋"/>
          <w:kern w:val="2"/>
          <w:sz w:val="32"/>
          <w:szCs w:val="30"/>
          <w:lang w:eastAsia="zh-CN"/>
        </w:rPr>
        <w:t>反映财政部门安排的公务员医疗补助经费。</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3" w:firstLineChars="200"/>
        <w:jc w:val="left"/>
        <w:textAlignment w:val="auto"/>
        <w:outlineLvl w:val="9"/>
        <w:rPr>
          <w:rFonts w:hint="eastAsia" w:ascii="仿宋" w:hAnsi="仿宋" w:eastAsia="仿宋" w:cs="仿宋"/>
          <w:kern w:val="2"/>
          <w:sz w:val="32"/>
          <w:szCs w:val="30"/>
          <w:lang w:eastAsia="zh-CN"/>
        </w:rPr>
      </w:pPr>
      <w:r>
        <w:rPr>
          <w:rFonts w:hint="eastAsia" w:ascii="楷体" w:hAnsi="楷体" w:eastAsia="楷体" w:cs="楷体"/>
          <w:b/>
          <w:bCs/>
          <w:kern w:val="2"/>
          <w:sz w:val="32"/>
          <w:szCs w:val="30"/>
          <w:lang w:eastAsia="zh-CN"/>
        </w:rPr>
        <w:t>（十二）住房公积金：</w:t>
      </w:r>
      <w:r>
        <w:rPr>
          <w:rFonts w:hint="eastAsia" w:ascii="仿宋" w:hAnsi="仿宋" w:eastAsia="仿宋" w:cs="仿宋"/>
          <w:kern w:val="2"/>
          <w:sz w:val="32"/>
          <w:szCs w:val="30"/>
          <w:lang w:eastAsia="zh-CN"/>
        </w:rPr>
        <w:t>反映行政事业单位按人力资源和社会保障部、财政部规定的基本工资和津补贴以及规定比例为职工缴纳的住房公积金。</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三、部门涉及的专业名词</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3" w:firstLineChars="200"/>
        <w:jc w:val="left"/>
        <w:textAlignment w:val="auto"/>
        <w:outlineLvl w:val="9"/>
        <w:rPr>
          <w:rFonts w:hint="eastAsia" w:ascii="仿宋" w:hAnsi="仿宋" w:eastAsia="仿宋" w:cs="仿宋"/>
          <w:kern w:val="2"/>
          <w:sz w:val="32"/>
          <w:szCs w:val="30"/>
          <w:lang w:eastAsia="zh-CN"/>
        </w:rPr>
      </w:pPr>
      <w:r>
        <w:rPr>
          <w:rFonts w:hint="eastAsia" w:ascii="楷体" w:hAnsi="楷体" w:eastAsia="楷体" w:cs="楷体"/>
          <w:b/>
          <w:bCs/>
          <w:kern w:val="2"/>
          <w:sz w:val="32"/>
          <w:szCs w:val="30"/>
          <w:lang w:eastAsia="zh-CN"/>
        </w:rPr>
        <w:t>（一）“三公”经费：</w:t>
      </w:r>
      <w:r>
        <w:rPr>
          <w:rFonts w:hint="eastAsia" w:ascii="仿宋" w:hAnsi="仿宋" w:eastAsia="仿宋" w:cs="仿宋"/>
          <w:kern w:val="2"/>
          <w:sz w:val="32"/>
          <w:szCs w:val="30"/>
          <w:lang w:eastAsia="zh-CN"/>
        </w:rPr>
        <w:t>纳入预算管理的“三公”经费，是指用财政拨款安排的因公出国（境)费、公务用车购置及运行费和公务接待费。</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3" w:firstLineChars="200"/>
        <w:jc w:val="left"/>
        <w:textAlignment w:val="auto"/>
        <w:outlineLvl w:val="9"/>
        <w:rPr>
          <w:rFonts w:hint="eastAsia" w:ascii="仿宋" w:hAnsi="仿宋" w:eastAsia="仿宋" w:cs="仿宋"/>
          <w:kern w:val="2"/>
          <w:sz w:val="32"/>
          <w:szCs w:val="30"/>
          <w:lang w:eastAsia="zh-CN"/>
        </w:rPr>
      </w:pPr>
      <w:r>
        <w:rPr>
          <w:rFonts w:hint="eastAsia" w:ascii="楷体" w:hAnsi="楷体" w:eastAsia="楷体" w:cs="楷体"/>
          <w:b/>
          <w:bCs/>
          <w:kern w:val="2"/>
          <w:sz w:val="32"/>
          <w:szCs w:val="30"/>
          <w:lang w:eastAsia="zh-CN"/>
        </w:rPr>
        <w:t>（二）机关运行经费：</w:t>
      </w:r>
      <w:r>
        <w:rPr>
          <w:rFonts w:hint="eastAsia" w:ascii="仿宋" w:hAnsi="仿宋" w:eastAsia="仿宋" w:cs="仿宋"/>
          <w:kern w:val="2"/>
          <w:sz w:val="32"/>
          <w:szCs w:val="30"/>
          <w:lang w:eastAsia="zh-CN"/>
        </w:rPr>
        <w:t>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kern w:val="2"/>
          <w:sz w:val="32"/>
          <w:szCs w:val="30"/>
          <w:lang w:eastAsia="zh-CN"/>
        </w:rPr>
      </w:pPr>
    </w:p>
    <w:p>
      <w:pPr>
        <w:pStyle w:val="6"/>
        <w:keepNext w:val="0"/>
        <w:keepLines w:val="0"/>
        <w:pageBreakBefore w:val="0"/>
        <w:widowControl/>
        <w:kinsoku/>
        <w:wordWrap/>
        <w:overflowPunct/>
        <w:topLinePunct w:val="0"/>
        <w:autoSpaceDE/>
        <w:autoSpaceDN/>
        <w:bidi w:val="0"/>
        <w:adjustRightInd/>
        <w:snapToGrid/>
        <w:spacing w:line="520" w:lineRule="exact"/>
        <w:ind w:left="0" w:leftChars="0" w:right="0" w:rightChars="0" w:firstLine="1120" w:firstLineChars="350"/>
        <w:jc w:val="left"/>
        <w:textAlignment w:val="auto"/>
        <w:outlineLvl w:val="9"/>
        <w:rPr>
          <w:rFonts w:hint="eastAsia" w:ascii="仿宋" w:hAnsi="仿宋" w:eastAsia="仿宋" w:cs="仿宋"/>
          <w:kern w:val="2"/>
          <w:sz w:val="32"/>
          <w:szCs w:val="30"/>
          <w:lang w:eastAsia="zh-CN"/>
        </w:rPr>
      </w:pPr>
    </w:p>
    <w:sectPr>
      <w:headerReference r:id="rId3" w:type="default"/>
      <w:footerReference r:id="rId4" w:type="default"/>
      <w:footerReference r:id="rId5" w:type="even"/>
      <w:pgSz w:w="11906" w:h="16838"/>
      <w:pgMar w:top="1701" w:right="1797" w:bottom="1701" w:left="1797"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1D09C7-90E8-4B15-A3E6-0103700C164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5E14310-DDCD-4C37-A869-ADCA09EC24CC}"/>
  </w:font>
  <w:font w:name="方正小标宋简体">
    <w:panose1 w:val="02000000000000000000"/>
    <w:charset w:val="86"/>
    <w:family w:val="script"/>
    <w:pitch w:val="default"/>
    <w:sig w:usb0="00000001" w:usb1="08000000" w:usb2="00000000" w:usb3="00000000" w:csb0="00040000" w:csb1="00000000"/>
    <w:embedRegular r:id="rId3" w:fontKey="{708879A4-4832-4A2D-9D53-52B90F77F067}"/>
  </w:font>
  <w:font w:name="仿宋_GB2312">
    <w:altName w:val="仿宋"/>
    <w:panose1 w:val="02010609030101010101"/>
    <w:charset w:val="86"/>
    <w:family w:val="modern"/>
    <w:pitch w:val="default"/>
    <w:sig w:usb0="00000000" w:usb1="00000000" w:usb2="00000000" w:usb3="00000000" w:csb0="00040000" w:csb1="00000000"/>
    <w:embedRegular r:id="rId4" w:fontKey="{F1FF1710-56D8-4E67-9385-169C787A2A4F}"/>
  </w:font>
  <w:font w:name="楷体">
    <w:panose1 w:val="02010609060101010101"/>
    <w:charset w:val="86"/>
    <w:family w:val="auto"/>
    <w:pitch w:val="default"/>
    <w:sig w:usb0="800002BF" w:usb1="38CF7CFA" w:usb2="00000016" w:usb3="00000000" w:csb0="00040001" w:csb1="00000000"/>
    <w:embedRegular r:id="rId5" w:fontKey="{484CE71E-2165-4B30-A6DD-62B4EC1E6493}"/>
  </w:font>
  <w:font w:name="仿宋">
    <w:panose1 w:val="02010609060101010101"/>
    <w:charset w:val="86"/>
    <w:family w:val="auto"/>
    <w:pitch w:val="default"/>
    <w:sig w:usb0="800002BF" w:usb1="38CF7CFA" w:usb2="00000016" w:usb3="00000000" w:csb0="00040001" w:csb1="00000000"/>
    <w:embedRegular r:id="rId6" w:fontKey="{1B99C241-6660-4946-91A2-16506E2F5BAA}"/>
  </w:font>
  <w:font w:name="Adobe 仿宋 Std R">
    <w:altName w:val="仿宋"/>
    <w:panose1 w:val="00000000000000000000"/>
    <w:charset w:val="86"/>
    <w:family w:val="auto"/>
    <w:pitch w:val="default"/>
    <w:sig w:usb0="00000000" w:usb1="00000000" w:usb2="00000016" w:usb3="00000000" w:csb0="00060007" w:csb1="00000000"/>
    <w:embedRegular r:id="rId7" w:fontKey="{DC65974B-A2A2-4FFA-955C-B0A9CF01E602}"/>
  </w:font>
  <w:font w:name="楷体_GB2312">
    <w:altName w:val="楷体"/>
    <w:panose1 w:val="02010609030101010101"/>
    <w:charset w:val="86"/>
    <w:family w:val="modern"/>
    <w:pitch w:val="default"/>
    <w:sig w:usb0="00000000" w:usb1="00000000" w:usb2="00000000" w:usb3="00000000" w:csb0="00040000" w:csb1="00000000"/>
    <w:embedRegular r:id="rId8" w:fontKey="{436B6F67-E4B4-4916-9AC1-4A568E118A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wordWrap w:val="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wordWrap w:val="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57406"/>
    <w:multiLevelType w:val="singleLevel"/>
    <w:tmpl w:val="84D57406"/>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ZWM5NWU2NTkzNGMxY2Y1NThkZjY2MGMzOTEzOWUifQ=="/>
  </w:docVars>
  <w:rsids>
    <w:rsidRoot w:val="216B3C95"/>
    <w:rsid w:val="0781151E"/>
    <w:rsid w:val="09B361AA"/>
    <w:rsid w:val="0DCE3C4C"/>
    <w:rsid w:val="12F0682B"/>
    <w:rsid w:val="1AA1373B"/>
    <w:rsid w:val="1B1E29FD"/>
    <w:rsid w:val="20D02B5C"/>
    <w:rsid w:val="216B3C95"/>
    <w:rsid w:val="2D9F180A"/>
    <w:rsid w:val="2ED52685"/>
    <w:rsid w:val="31B71C9E"/>
    <w:rsid w:val="361F021D"/>
    <w:rsid w:val="368C578D"/>
    <w:rsid w:val="377E58E4"/>
    <w:rsid w:val="3A331955"/>
    <w:rsid w:val="3AFE373D"/>
    <w:rsid w:val="3C511F0D"/>
    <w:rsid w:val="3C635260"/>
    <w:rsid w:val="3F8A2AD8"/>
    <w:rsid w:val="40457BF5"/>
    <w:rsid w:val="405E2CDC"/>
    <w:rsid w:val="45FC759C"/>
    <w:rsid w:val="49787667"/>
    <w:rsid w:val="50622BE2"/>
    <w:rsid w:val="598F4A10"/>
    <w:rsid w:val="5E8E550E"/>
    <w:rsid w:val="654F6AA6"/>
    <w:rsid w:val="671E708F"/>
    <w:rsid w:val="691507DE"/>
    <w:rsid w:val="6BCC2FDC"/>
    <w:rsid w:val="6D99628D"/>
    <w:rsid w:val="731150AB"/>
    <w:rsid w:val="733F28AB"/>
    <w:rsid w:val="76A038F3"/>
    <w:rsid w:val="76FE43B5"/>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p0"/>
    <w:basedOn w:val="1"/>
    <w:autoRedefine/>
    <w:qFormat/>
    <w:uiPriority w:val="0"/>
    <w:pPr>
      <w:widowControl/>
    </w:pPr>
    <w:rPr>
      <w:rFonts w:ascii="Times New Roman" w:hAnsi="Times New Roman" w:eastAsia="宋体" w:cs="Times New Roman"/>
      <w:kern w:val="0"/>
      <w:szCs w:val="21"/>
    </w:rPr>
  </w:style>
  <w:style w:type="character" w:customStyle="1" w:styleId="7">
    <w:name w:val="row_tree_level_4"/>
    <w:basedOn w:val="5"/>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3285</Words>
  <Characters>3399</Characters>
  <Lines>0</Lines>
  <Paragraphs>0</Paragraphs>
  <TotalTime>5</TotalTime>
  <ScaleCrop>false</ScaleCrop>
  <LinksUpToDate>false</LinksUpToDate>
  <CharactersWithSpaces>3454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2022-09-15T02:24:00Z</dcterms:created>
  <dc:creator>Administrator</dc:creator>
  <cp:lastModifiedBy>xh</cp:lastModifiedBy>
  <cp:lastPrinted>2024-02-19T02:53:00Z</cp:lastPrinted>
  <dcterms:modified xsi:type="dcterms:W3CDTF">2024-02-29T10:36:18Z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6177370B57F84BC9B45CB4B3B960D8B1</vt:lpwstr>
  </property>
</Properties>
</file>