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adjustRightInd w:val="0"/>
        <w:snapToGrid w:val="0"/>
        <w:jc w:val="center"/>
        <w:outlineLvl w:val="0"/>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rPr>
          <w:color w:val="000000" w:themeColor="text1"/>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 xml:space="preserve">项目名称： </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南康区殡仪馆建设项目</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 xml:space="preserve"> 赣州市南康区殡葬管理所</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14:textFill>
            <w14:solidFill>
              <w14:schemeClr w14:val="tx1"/>
            </w14:solidFill>
          </w14:textFill>
        </w:rPr>
        <w:t>2</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14:textFill>
            <w14:solidFill>
              <w14:schemeClr w14:val="tx1"/>
            </w14:solidFill>
          </w14:textFill>
        </w:rPr>
        <w:t>7</w:t>
      </w:r>
      <w:r>
        <w:rPr>
          <w:rFonts w:eastAsia="仿宋_GB2312"/>
          <w:color w:val="000000" w:themeColor="text1"/>
          <w:sz w:val="36"/>
          <w:szCs w:val="36"/>
          <w:u w:val="single"/>
          <w14:textFill>
            <w14:solidFill>
              <w14:schemeClr w14:val="tx1"/>
            </w14:solidFill>
          </w14:textFill>
        </w:rPr>
        <w:t xml:space="preserve">月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eastAsia="黑体"/>
          <w:color w:val="000000" w:themeColor="text1"/>
          <w:sz w:val="30"/>
          <w:szCs w:val="30"/>
          <w14:textFill>
            <w14:solidFill>
              <w14:schemeClr w14:val="tx1"/>
            </w14:solidFill>
          </w14:textFill>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56"/>
        <w:gridCol w:w="2163"/>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014"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南康区殡仪馆建设项目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014"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16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方文龙</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63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13607072848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014"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u w:val="single"/>
                <w14:textFill>
                  <w14:solidFill>
                    <w14:schemeClr w14:val="tx1"/>
                  </w14:solidFill>
                </w14:textFill>
              </w:rPr>
              <w:t>南康区唐江镇星光村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014" w:type="dxa"/>
            <w:gridSpan w:val="3"/>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（东经</w:t>
            </w:r>
            <w:r>
              <w:rPr>
                <w:color w:val="000000" w:themeColor="text1"/>
                <w:spacing w:val="-2"/>
                <w:sz w:val="24"/>
                <w14:textFill>
                  <w14:solidFill>
                    <w14:schemeClr w14:val="tx1"/>
                  </w14:solidFill>
                </w14:textFill>
              </w:rPr>
              <w:t>114°43'</w:t>
            </w:r>
            <w:r>
              <w:rPr>
                <w:rFonts w:hint="eastAsia"/>
                <w:color w:val="000000" w:themeColor="text1"/>
                <w:spacing w:val="-2"/>
                <w:sz w:val="24"/>
                <w14:textFill>
                  <w14:solidFill>
                    <w14:schemeClr w14:val="tx1"/>
                  </w14:solidFill>
                </w14:textFill>
              </w:rPr>
              <w:t>47.066</w:t>
            </w:r>
            <w:r>
              <w:rPr>
                <w:color w:val="000000" w:themeColor="text1"/>
                <w:spacing w:val="-2"/>
                <w:sz w:val="24"/>
                <w14:textFill>
                  <w14:solidFill>
                    <w14:schemeClr w14:val="tx1"/>
                  </w14:solidFill>
                </w14:textFill>
              </w:rPr>
              <w:t>"</w:t>
            </w:r>
            <w:r>
              <w:rPr>
                <w:color w:val="000000" w:themeColor="text1"/>
                <w:sz w:val="24"/>
                <w14:textFill>
                  <w14:solidFill>
                    <w14:schemeClr w14:val="tx1"/>
                  </w14:solidFill>
                </w14:textFill>
              </w:rPr>
              <w:t>，北纬：</w:t>
            </w:r>
            <w:r>
              <w:rPr>
                <w:color w:val="000000" w:themeColor="text1"/>
                <w:spacing w:val="-2"/>
                <w:sz w:val="24"/>
                <w14:textFill>
                  <w14:solidFill>
                    <w14:schemeClr w14:val="tx1"/>
                  </w14:solidFill>
                </w14:textFill>
              </w:rPr>
              <w:t>25°46'5</w:t>
            </w:r>
            <w:r>
              <w:rPr>
                <w:rFonts w:hint="eastAsia"/>
                <w:color w:val="000000" w:themeColor="text1"/>
                <w:spacing w:val="-2"/>
                <w:sz w:val="24"/>
                <w14:textFill>
                  <w14:solidFill>
                    <w14:schemeClr w14:val="tx1"/>
                  </w14:solidFill>
                </w14:textFill>
              </w:rPr>
              <w:t>9.267</w:t>
            </w:r>
            <w:r>
              <w:rPr>
                <w:color w:val="000000" w:themeColor="text1"/>
                <w:spacing w:val="-2"/>
                <w:sz w:val="24"/>
                <w14:textFill>
                  <w14:solidFill>
                    <w14:schemeClr w14:val="tx1"/>
                  </w14:solidFill>
                </w14:textFill>
              </w:rPr>
              <w:t>"</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16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殡葬服务 O8080</w:t>
            </w:r>
          </w:p>
        </w:tc>
        <w:tc>
          <w:tcPr>
            <w:tcW w:w="2212" w:type="dxa"/>
            <w:vAlign w:val="center"/>
          </w:tcPr>
          <w:p>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2639"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“五十、社会事业与服务业”中第122 类“殡仪馆、陵园、公墓”中“殡仪馆”类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163" w:type="dxa"/>
            <w:vAlign w:val="center"/>
          </w:tcPr>
          <w:p>
            <w:pPr>
              <w:jc w:val="left"/>
              <w:rPr>
                <w:color w:val="000000" w:themeColor="text1"/>
                <w:sz w:val="24"/>
                <w14:textFill>
                  <w14:solidFill>
                    <w14:schemeClr w14:val="tx1"/>
                  </w14:solidFill>
                </w14:textFill>
              </w:rPr>
            </w:pPr>
            <w:r>
              <w:rPr>
                <w:rFonts w:hint="eastAsia" w:ascii="MS Gothic" w:hAnsi="MS Gothic" w:eastAsia="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技术改造</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639" w:type="dxa"/>
            <w:vAlign w:val="center"/>
          </w:tcPr>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首次申报项目             </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超五年重新审核项目     </w:t>
            </w:r>
          </w:p>
          <w:p>
            <w:pPr>
              <w:jc w:val="left"/>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16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项目审批（核准/备案）文号（选填）</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16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0</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16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已结束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163" w:type="dxa"/>
            <w:vAlign w:val="center"/>
          </w:tcPr>
          <w:p>
            <w:pPr>
              <w:adjustRightInd w:val="0"/>
              <w:snapToGrid w:val="0"/>
              <w:rPr>
                <w:color w:val="000000" w:themeColor="text1"/>
                <w:sz w:val="24"/>
                <w14:textFill>
                  <w14:solidFill>
                    <w14:schemeClr w14:val="tx1"/>
                  </w14:solidFill>
                </w14:textFill>
              </w:rPr>
            </w:pPr>
            <w:r>
              <w:rPr>
                <w:rFonts w:hint="eastAsia" w:ascii="MS Gothic" w:hAnsi="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rFonts w:hint="eastAsia" w:ascii="MS Gothic" w:hAnsi="MS Gothic" w:eastAsia="MS Gothic" w:cs="MS Gothic"/>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rFonts w:hint="eastAsia"/>
                <w:color w:val="000000" w:themeColor="text1"/>
                <w:sz w:val="24"/>
                <w:u w:val="single"/>
                <w14:textFill>
                  <w14:solidFill>
                    <w14:schemeClr w14:val="tx1"/>
                  </w14:solidFill>
                </w14:textFill>
              </w:rPr>
              <w:t>项目已建成，补办环评</w:t>
            </w:r>
            <w:r>
              <w:rPr>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263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102266.67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014" w:type="dxa"/>
            <w:gridSpan w:val="3"/>
            <w:vAlign w:val="center"/>
          </w:tcPr>
          <w:p>
            <w:pPr>
              <w:autoSpaceDE w:val="0"/>
              <w:autoSpaceDN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本项目排放二噁英，且厂界外500 米范围内有环境空气保护目标，此次环评设置大气专项评价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014" w:type="dxa"/>
            <w:gridSpan w:val="3"/>
            <w:vAlign w:val="center"/>
          </w:tcPr>
          <w:p>
            <w:pPr>
              <w:autoSpaceDE w:val="0"/>
              <w:autoSpaceDN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014" w:type="dxa"/>
            <w:gridSpan w:val="3"/>
            <w:vAlign w:val="center"/>
          </w:tcPr>
          <w:p>
            <w:pPr>
              <w:autoSpaceDE w:val="0"/>
              <w:autoSpaceDN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014" w:type="dxa"/>
            <w:gridSpan w:val="3"/>
            <w:vAlign w:val="center"/>
          </w:tcPr>
          <w:p>
            <w:pPr>
              <w:autoSpaceDE w:val="0"/>
              <w:autoSpaceDN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014" w:type="dxa"/>
            <w:gridSpan w:val="3"/>
            <w:vAlign w:val="center"/>
          </w:tcPr>
          <w:p>
            <w:pPr>
              <w:autoSpaceDE w:val="0"/>
              <w:autoSpaceDN w:val="0"/>
              <w:adjustRightInd w:val="0"/>
              <w:snapToGrid w:val="0"/>
              <w:spacing w:line="360" w:lineRule="auto"/>
              <w:jc w:val="left"/>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1、产业政策相符性分析</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项目行业类别为07980 殡葬服务，不属于中华人民共和国国家发展和改革委员会令第29号《产业结构调整指导目录（2019年本）》中限制、淘汰类项目，属于允许类，</w:t>
            </w:r>
            <w:r>
              <w:rPr>
                <w:rFonts w:hint="eastAsia"/>
                <w:color w:val="000000" w:themeColor="text1"/>
                <w:kern w:val="0"/>
                <w:sz w:val="24"/>
                <w14:textFill>
                  <w14:solidFill>
                    <w14:schemeClr w14:val="tx1"/>
                  </w14:solidFill>
                </w14:textFill>
              </w:rPr>
              <w:t>项目不属于限制、淘汰类或进入负面清单类项目，属于允许类，因此本项目符合国家及江西省现行的有关产业政策的要求。</w:t>
            </w:r>
          </w:p>
          <w:p>
            <w:pPr>
              <w:autoSpaceDE w:val="0"/>
              <w:autoSpaceDN w:val="0"/>
              <w:adjustRightInd w:val="0"/>
              <w:snapToGrid w:val="0"/>
              <w:spacing w:line="360" w:lineRule="auto"/>
              <w:jc w:val="left"/>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2、“三线一单”符合性分析</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（1）生态保护红线</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项目选址于南康区唐江镇星光村。项目的建设符合南康区发展规划。</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中共中央办公厅国务院办公厅印发〈关于划定并严守生态保护红线的若干意见〉的通知》（厅字〔2017〕2号）要求下江西省发布的《江西省生态保护红线》文件中，经查阅南康区生态保护红线划定范围图，南康区涉及生态保护红线类型为水源涵养、水源涵养与生物多样性保护区。项目不在生态红线范围内，周边无自然保护区、饮用水源保护区、基本农田、公益林等生态保护目标，符合生态保护红线的要求。</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本项目不在《江西省生态保护红线》中的生态保护红线范围内，符合规划要求。</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（2）环境质量底线</w:t>
            </w:r>
          </w:p>
          <w:p>
            <w:pPr>
              <w:pStyle w:val="2"/>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长江经济带战略环境评价江西省“三线一单”研究报告》、《长江经济带战略环境评价江西省赣州市“三线一单”划定技术报告》，对南康区大气环境质量、水环境质量及土壤环境风险防控提出了底线要求，将有关要求梳理如下：</w:t>
            </w:r>
          </w:p>
          <w:p>
            <w:pPr>
              <w:pStyle w:val="3"/>
              <w:pBdr>
                <w:bottom w:val="none" w:color="auto" w:sz="0" w:space="0"/>
              </w:pBd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表1-1 江西省、赣州市“三线一单”中关于南康区环境质量底线目标</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135"/>
              <w:gridCol w:w="1559"/>
              <w:gridCol w:w="953"/>
              <w:gridCol w:w="1134"/>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2" w:type="pct"/>
                  <w:gridSpan w:val="3"/>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环境质量底线要求</w:t>
                  </w:r>
                </w:p>
              </w:tc>
              <w:tc>
                <w:tcPr>
                  <w:tcW w:w="701"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2020年</w:t>
                  </w:r>
                </w:p>
              </w:tc>
              <w:tc>
                <w:tcPr>
                  <w:tcW w:w="834"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2025年</w:t>
                  </w:r>
                </w:p>
              </w:tc>
              <w:tc>
                <w:tcPr>
                  <w:tcW w:w="833"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2035年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restar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大气环境质量底线</w:t>
                  </w:r>
                </w:p>
              </w:tc>
              <w:tc>
                <w:tcPr>
                  <w:tcW w:w="1981" w:type="pct"/>
                  <w:gridSpan w:val="2"/>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浓度目标</w:t>
                  </w:r>
                  <w:r>
                    <w:rPr>
                      <w:color w:val="000000" w:themeColor="text1"/>
                      <w:sz w:val="21"/>
                      <w:szCs w:val="21"/>
                      <w14:textFill>
                        <w14:solidFill>
                          <w14:schemeClr w14:val="tx1"/>
                        </w14:solidFill>
                      </w14:textFill>
                    </w:rPr>
                    <w:t>（μg/m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835" w:type="pct"/>
                  <w:vMerge w:val="restar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大气污染物运行排放量（t/a）</w:t>
                  </w:r>
                </w:p>
              </w:tc>
              <w:tc>
                <w:tcPr>
                  <w:tcW w:w="1147"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12224</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11000</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835"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1147"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x</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5943</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5107</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835"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1147"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一次细颗粒物</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14194</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12777</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12777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835"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1147"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7201</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6193</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restar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水环境质量底线</w:t>
                  </w:r>
                </w:p>
              </w:tc>
              <w:tc>
                <w:tcPr>
                  <w:tcW w:w="1981" w:type="pct"/>
                  <w:gridSpan w:val="2"/>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断面名称</w:t>
                  </w:r>
                </w:p>
              </w:tc>
              <w:tc>
                <w:tcPr>
                  <w:tcW w:w="701"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2020年</w:t>
                  </w:r>
                </w:p>
              </w:tc>
              <w:tc>
                <w:tcPr>
                  <w:tcW w:w="834"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2025年</w:t>
                  </w:r>
                </w:p>
              </w:tc>
              <w:tc>
                <w:tcPr>
                  <w:tcW w:w="833"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2035年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1981" w:type="pct"/>
                  <w:gridSpan w:val="2"/>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章水南康下坝</w:t>
                  </w:r>
                </w:p>
              </w:tc>
              <w:tc>
                <w:tcPr>
                  <w:tcW w:w="2368" w:type="pct"/>
                  <w:gridSpan w:val="3"/>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0" w:type="pct"/>
                  <w:vMerge w:val="continue"/>
                  <w:vAlign w:val="center"/>
                </w:tcPr>
                <w:p>
                  <w:pPr>
                    <w:pStyle w:val="3"/>
                    <w:pBdr>
                      <w:bottom w:val="none" w:color="auto" w:sz="0" w:space="0"/>
                    </w:pBdr>
                    <w:rPr>
                      <w:color w:val="000000" w:themeColor="text1"/>
                      <w:sz w:val="21"/>
                      <w:szCs w:val="21"/>
                      <w14:textFill>
                        <w14:solidFill>
                          <w14:schemeClr w14:val="tx1"/>
                        </w14:solidFill>
                      </w14:textFill>
                    </w:rPr>
                  </w:pPr>
                </w:p>
              </w:tc>
              <w:tc>
                <w:tcPr>
                  <w:tcW w:w="1981" w:type="pct"/>
                  <w:gridSpan w:val="2"/>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章水经开区窑背</w:t>
                  </w:r>
                </w:p>
              </w:tc>
              <w:tc>
                <w:tcPr>
                  <w:tcW w:w="2368" w:type="pct"/>
                  <w:gridSpan w:val="3"/>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Ⅲ类</w:t>
                  </w:r>
                </w:p>
              </w:tc>
            </w:tr>
          </w:tbl>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根据江西省生态环境厅发布的《20</w:t>
            </w:r>
            <w:r>
              <w:rPr>
                <w:rFonts w:hint="eastAsia"/>
                <w:color w:val="000000" w:themeColor="text1"/>
                <w:kern w:val="0"/>
                <w:sz w:val="24"/>
                <w14:textFill>
                  <w14:solidFill>
                    <w14:schemeClr w14:val="tx1"/>
                  </w14:solidFill>
                </w14:textFill>
              </w:rPr>
              <w:t>20</w:t>
            </w:r>
            <w:r>
              <w:rPr>
                <w:color w:val="000000" w:themeColor="text1"/>
                <w:kern w:val="0"/>
                <w:sz w:val="24"/>
                <w14:textFill>
                  <w14:solidFill>
                    <w14:schemeClr w14:val="tx1"/>
                  </w14:solidFill>
                </w14:textFill>
              </w:rPr>
              <w:t>年江西省各县（市、区）六项污染物浓度年均值》，南康区SO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、NO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、CO、O</w:t>
            </w:r>
            <w:r>
              <w:rPr>
                <w:color w:val="000000" w:themeColor="text1"/>
                <w:kern w:val="0"/>
                <w:sz w:val="24"/>
                <w:vertAlign w:val="subscript"/>
                <w14:textFill>
                  <w14:solidFill>
                    <w14:schemeClr w14:val="tx1"/>
                  </w14:solidFill>
                </w14:textFill>
              </w:rPr>
              <w:t>3</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10</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2.5</w:t>
            </w:r>
            <w:r>
              <w:rPr>
                <w:color w:val="000000" w:themeColor="text1"/>
                <w:kern w:val="0"/>
                <w:sz w:val="24"/>
                <w14:textFill>
                  <w14:solidFill>
                    <w14:schemeClr w14:val="tx1"/>
                  </w14:solidFill>
                </w14:textFill>
              </w:rPr>
              <w:t>均符合《环境空气质量标准》（GB 3095-2012）二级标准；项目区域地表水体现状水质能够达到《地表水环境质量标准》（GB 3838-2002）中的III类标准；厂界外声环境质量满足《声环境质量标准》（GB 3096-2008）中</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类声环境功能区的标准要求，</w:t>
            </w:r>
            <w:r>
              <w:rPr>
                <w:rFonts w:hint="eastAsia"/>
                <w:color w:val="000000" w:themeColor="text1"/>
                <w:kern w:val="0"/>
                <w:sz w:val="24"/>
                <w14:textFill>
                  <w14:solidFill>
                    <w14:schemeClr w14:val="tx1"/>
                  </w14:solidFill>
                </w14:textFill>
              </w:rPr>
              <w:t>并且本工程固体废物均妥善处置，不直接排入外环境，</w:t>
            </w:r>
            <w:r>
              <w:rPr>
                <w:color w:val="000000" w:themeColor="text1"/>
                <w:kern w:val="0"/>
                <w:sz w:val="24"/>
                <w14:textFill>
                  <w14:solidFill>
                    <w14:schemeClr w14:val="tx1"/>
                  </w14:solidFill>
                </w14:textFill>
              </w:rPr>
              <w:t>项目环境影响在环境承载范围内。项目建设不会突破当地环境质量底线。</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（3）资源利用上线</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建成运行后通过内部管理、设备选择、原辅材料的选用和管理、废物回收利用、污染治理等多方面采取可行的防治措施，以“节能、降耗、减污”为目标，有效地控制污染，本项目属于殡葬服务行业，运营期用水较少，年耗水量3490.5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/a，用电设备为火化炉、废气处理设施、办公用电等，日常运营消耗少量电能。从能源资源消耗总量和产值均耗量看，项目符合所在区域资源利用上线管理要求。</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（4）环境准入负面清单</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对照《赣州市人民政府印发赣州市“三线一单”生态环境分区管控方案的通知》（赣市府字[2020]95号），本项目位于赣州市生态环境重点管控单元中“江西省赣州市南康区重点管控单元2唐江镇（环境管控单元编码：</w:t>
            </w:r>
            <w:r>
              <w:rPr>
                <w:color w:val="000000" w:themeColor="text1"/>
                <w:sz w:val="24"/>
                <w14:textFill>
                  <w14:solidFill>
                    <w14:schemeClr w14:val="tx1"/>
                  </w14:solidFill>
                </w14:textFill>
              </w:rPr>
              <w:t>ZH36070320002</w:t>
            </w:r>
            <w:r>
              <w:rPr>
                <w:rFonts w:hint="eastAsia"/>
                <w:color w:val="000000" w:themeColor="text1"/>
                <w:sz w:val="24"/>
                <w14:textFill>
                  <w14:solidFill>
                    <w14:schemeClr w14:val="tx1"/>
                  </w14:solidFill>
                </w14:textFill>
              </w:rPr>
              <w:t>）”内，本项目与赣市府字【2020】95号相符性分析见下表。</w:t>
            </w:r>
          </w:p>
          <w:p>
            <w:pPr>
              <w:pStyle w:val="2"/>
              <w:spacing w:after="0"/>
              <w:ind w:left="0" w:leftChars="0"/>
              <w:jc w:val="center"/>
              <w:rPr>
                <w:color w:val="000000" w:themeColor="text1"/>
                <w14:textFill>
                  <w14:solidFill>
                    <w14:schemeClr w14:val="tx1"/>
                  </w14:solidFill>
                </w14:textFill>
              </w:rPr>
            </w:pPr>
            <w:r>
              <w:rPr>
                <w:b/>
                <w:color w:val="000000" w:themeColor="text1"/>
                <w:kern w:val="18"/>
                <w:szCs w:val="21"/>
                <w14:textFill>
                  <w14:solidFill>
                    <w14:schemeClr w14:val="tx1"/>
                  </w14:solidFill>
                </w14:textFill>
              </w:rPr>
              <w:t>表</w:t>
            </w:r>
            <w:r>
              <w:rPr>
                <w:rFonts w:hint="eastAsia"/>
                <w:b/>
                <w:color w:val="000000" w:themeColor="text1"/>
                <w:kern w:val="18"/>
                <w:szCs w:val="21"/>
                <w14:textFill>
                  <w14:solidFill>
                    <w14:schemeClr w14:val="tx1"/>
                  </w14:solidFill>
                </w14:textFill>
              </w:rPr>
              <w:t>1-2</w:t>
            </w:r>
            <w:r>
              <w:rPr>
                <w:b/>
                <w:color w:val="000000" w:themeColor="text1"/>
                <w:kern w:val="18"/>
                <w:szCs w:val="21"/>
                <w14:textFill>
                  <w14:solidFill>
                    <w14:schemeClr w14:val="tx1"/>
                  </w14:solidFill>
                </w14:textFill>
              </w:rPr>
              <w:t xml:space="preserve">  </w:t>
            </w:r>
            <w:r>
              <w:rPr>
                <w:rFonts w:hint="eastAsia"/>
                <w:b/>
                <w:color w:val="000000" w:themeColor="text1"/>
                <w:kern w:val="18"/>
                <w:szCs w:val="21"/>
                <w14:textFill>
                  <w14:solidFill>
                    <w14:schemeClr w14:val="tx1"/>
                  </w14:solidFill>
                </w14:textFill>
              </w:rPr>
              <w:t>与赣市府字【2020】95 号相符性分析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302"/>
              <w:gridCol w:w="3687"/>
              <w:gridCol w:w="8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693" w:type="pc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赣府发[2020]95号文相关要求</w:t>
                  </w:r>
                </w:p>
              </w:tc>
              <w:tc>
                <w:tcPr>
                  <w:tcW w:w="2712"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595"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693" w:type="pct"/>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点管控单元应优化空间和产业布局，结合生态环境质量达标情况以及经济社会发展水平等，按照差别化的生态环境准入要求，加强污染物排放控制和环境风险防控，不断提升资源利用效率，稳步改善生态环境质量。涉及生态保护红线的，按照国家和省相关规定进行管控。</w:t>
                  </w:r>
                </w:p>
              </w:tc>
              <w:tc>
                <w:tcPr>
                  <w:tcW w:w="2712" w:type="pct"/>
                  <w:vAlign w:val="center"/>
                </w:tcPr>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（1）通过与用地规划相符性分析，本项目建设符合基地规划。</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（2）通过环境现状调查，本项目区域环境质量现状较好，具有一定的环境容量。</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（3）项目三废均能有效处理，不会明显降低区城环境质量现状；经分析，本项目建成后不会改变项目所在区域的环境质量功能。</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（4）本项目建成运行后通过内部管理、设备选择、原辅材料的选用和管理、废物回收利用、污染治理等多方面采取可行的防治措施，以“节能、降耗、减污”为目标，有限地控制污染。</w:t>
                  </w:r>
                </w:p>
              </w:tc>
              <w:tc>
                <w:tcPr>
                  <w:tcW w:w="59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bl>
          <w:p>
            <w:pPr>
              <w:adjustRightInd w:val="0"/>
              <w:snapToGrid w:val="0"/>
              <w:spacing w:before="120" w:beforeLines="50"/>
              <w:jc w:val="center"/>
              <w:rPr>
                <w:b/>
                <w:color w:val="000000" w:themeColor="text1"/>
                <w:kern w:val="18"/>
                <w:sz w:val="24"/>
                <w14:textFill>
                  <w14:solidFill>
                    <w14:schemeClr w14:val="tx1"/>
                  </w14:solidFill>
                </w14:textFill>
              </w:rPr>
            </w:pPr>
            <w:r>
              <w:rPr>
                <w:b/>
                <w:color w:val="000000" w:themeColor="text1"/>
                <w:kern w:val="18"/>
                <w:sz w:val="24"/>
                <w14:textFill>
                  <w14:solidFill>
                    <w14:schemeClr w14:val="tx1"/>
                  </w14:solidFill>
                </w14:textFill>
              </w:rPr>
              <w:t>表</w:t>
            </w:r>
            <w:r>
              <w:rPr>
                <w:rFonts w:hint="eastAsia"/>
                <w:b/>
                <w:color w:val="000000" w:themeColor="text1"/>
                <w:kern w:val="18"/>
                <w:sz w:val="24"/>
                <w14:textFill>
                  <w14:solidFill>
                    <w14:schemeClr w14:val="tx1"/>
                  </w14:solidFill>
                </w14:textFill>
              </w:rPr>
              <w:t>1-3</w:t>
            </w:r>
            <w:r>
              <w:rPr>
                <w:b/>
                <w:color w:val="000000" w:themeColor="text1"/>
                <w:kern w:val="18"/>
                <w:sz w:val="24"/>
                <w14:textFill>
                  <w14:solidFill>
                    <w14:schemeClr w14:val="tx1"/>
                  </w14:solidFill>
                </w14:textFill>
              </w:rPr>
              <w:t xml:space="preserve">  </w:t>
            </w:r>
            <w:bookmarkStart w:id="2" w:name="OLE_LINK1"/>
            <w:bookmarkStart w:id="3" w:name="OLE_LINK2"/>
            <w:r>
              <w:rPr>
                <w:rFonts w:hint="eastAsia"/>
                <w:b/>
                <w:color w:val="000000" w:themeColor="text1"/>
                <w:kern w:val="18"/>
                <w:sz w:val="24"/>
                <w14:textFill>
                  <w14:solidFill>
                    <w14:schemeClr w14:val="tx1"/>
                  </w14:solidFill>
                </w14:textFill>
              </w:rPr>
              <w:t>与赣市环委办字[2021]5号相符性分析</w:t>
            </w:r>
            <w:bookmarkEnd w:id="2"/>
            <w:bookmarkEnd w:id="3"/>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3435"/>
              <w:gridCol w:w="2510"/>
              <w:gridCol w:w="42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2840" w:type="pct"/>
                  <w:gridSpan w:val="2"/>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赣市环委办字[2021]5号</w:t>
                  </w:r>
                </w:p>
              </w:tc>
              <w:tc>
                <w:tcPr>
                  <w:tcW w:w="1846"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314"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840" w:type="pct"/>
                  <w:gridSpan w:val="2"/>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点管控单元应优化空间和产业布局，结合生态环境质量达标情况以及经济社会发展水平等，按照差别化的生态环境准入要求，加强污染物排放控制和环境风险防控，不断提升资源利用效率，稳步改善生态环境质量。涉及生态保护红线的，按照国家和省相关规定进行管控。</w:t>
                  </w:r>
                </w:p>
              </w:tc>
              <w:tc>
                <w:tcPr>
                  <w:tcW w:w="184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项目区域环境质量现状较好，具有相应的环境容量，项目的建设不会明显降低区域环境质量现状</w:t>
                  </w:r>
                </w:p>
              </w:tc>
              <w:tc>
                <w:tcPr>
                  <w:tcW w:w="3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1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526" w:type="pct"/>
                  <w:vAlign w:val="center"/>
                </w:tcPr>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1、生态保护红线范围执行生态保护红线的有关管理规定。2、禁养区禁止建设养殖场或禁止建设有污染物排放的养殖场。3、经生态保护红线优化后不符合生态功能活动的，限期退出依法关停。</w:t>
                  </w:r>
                </w:p>
              </w:tc>
              <w:tc>
                <w:tcPr>
                  <w:tcW w:w="184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（1）根据《产业结构调整指 导目录（2019年本）》，本项目属于</w:t>
                  </w:r>
                  <w:r>
                    <w:rPr>
                      <w:rFonts w:hint="eastAsia"/>
                      <w:color w:val="000000" w:themeColor="text1"/>
                      <w:szCs w:val="21"/>
                      <w14:textFill>
                        <w14:solidFill>
                          <w14:schemeClr w14:val="tx1"/>
                        </w14:solidFill>
                      </w14:textFill>
                    </w:rPr>
                    <w:t>允许</w:t>
                  </w:r>
                  <w:r>
                    <w:rPr>
                      <w:color w:val="000000" w:themeColor="text1"/>
                      <w:szCs w:val="21"/>
                      <w14:textFill>
                        <w14:solidFill>
                          <w14:schemeClr w14:val="tx1"/>
                        </w14:solidFill>
                      </w14:textFill>
                    </w:rPr>
                    <w:t>类项目。</w:t>
                  </w:r>
                  <w:r>
                    <w:rPr>
                      <w:rFonts w:hint="eastAsia"/>
                      <w:color w:val="000000" w:themeColor="text1"/>
                      <w:szCs w:val="21"/>
                      <w14:textFill>
                        <w14:solidFill>
                          <w14:schemeClr w14:val="tx1"/>
                        </w14:solidFill>
                      </w14:textFill>
                    </w:rPr>
                    <w:t>不在负面清单内。</w:t>
                  </w:r>
                </w:p>
              </w:tc>
              <w:tc>
                <w:tcPr>
                  <w:tcW w:w="3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1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2526" w:type="pct"/>
                  <w:vAlign w:val="center"/>
                </w:tcPr>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1、加强源头控制，提高VOCs含量低（无）的绿色原辅材料替代比例，加强VOCs污染治理，提高重点行业有机废气收集率。</w:t>
                  </w:r>
                </w:p>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2、新建项目污染物排放量应实施县（市）平衡，区域污染物排放总量不增加。</w:t>
                  </w:r>
                </w:p>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3、新建项目污染物排放应达到行业排放标准或综合排放标准。</w:t>
                  </w:r>
                </w:p>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4、鼓励企业加大工业用水重复利用率，特定行业工业用水重复利用率应满足该行业清洁生产要求。</w:t>
                  </w:r>
                </w:p>
              </w:tc>
              <w:tc>
                <w:tcPr>
                  <w:tcW w:w="1846" w:type="pct"/>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）本项目不产生</w:t>
                  </w:r>
                  <w:r>
                    <w:rPr>
                      <w:rFonts w:hint="eastAsia"/>
                      <w:color w:val="000000" w:themeColor="text1"/>
                      <w:szCs w:val="21"/>
                      <w14:textFill>
                        <w14:solidFill>
                          <w14:schemeClr w14:val="tx1"/>
                        </w14:solidFill>
                      </w14:textFill>
                    </w:rPr>
                    <w:t>VOCs废气。</w:t>
                  </w:r>
                </w:p>
                <w:p>
                  <w:pPr>
                    <w:pStyle w:val="2"/>
                    <w:spacing w:after="0"/>
                    <w:ind w:left="0" w:left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（2）项目污染物排放量达到区域平衡，所需总量由生态环境主管部门调配，未增加区域污染物排放。</w:t>
                  </w:r>
                </w:p>
                <w:p>
                  <w:pPr>
                    <w:pStyle w:val="2"/>
                    <w:spacing w:after="0"/>
                    <w:ind w:left="0" w:left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（3）本项目污染物排放达到行业排放标准及综合排放标准。</w:t>
                  </w:r>
                </w:p>
                <w:p>
                  <w:pPr>
                    <w:pStyle w:val="2"/>
                    <w:spacing w:after="0"/>
                    <w:ind w:left="0" w:left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（4）本项目所属行业暂无清洁生产要求。</w:t>
                  </w:r>
                </w:p>
              </w:tc>
              <w:tc>
                <w:tcPr>
                  <w:tcW w:w="3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1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526" w:type="pct"/>
                  <w:vAlign w:val="center"/>
                </w:tcPr>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1、严格管控农用地，不得在污染地块种植水稻等特地农产品。2、已污染地块，应当依法开展土壤污染状况调查、治理与修复，符合相应用地土壤环境质量要求后，方可进入用地程序。</w:t>
                  </w:r>
                </w:p>
              </w:tc>
              <w:tc>
                <w:tcPr>
                  <w:tcW w:w="1846" w:type="pct"/>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w:t>
                  </w:r>
                  <w:r>
                    <w:rPr>
                      <w:rFonts w:hint="eastAsia"/>
                      <w:color w:val="000000" w:themeColor="text1"/>
                      <w:szCs w:val="21"/>
                      <w14:textFill>
                        <w14:solidFill>
                          <w14:schemeClr w14:val="tx1"/>
                        </w14:solidFill>
                      </w14:textFill>
                    </w:rPr>
                    <w:t>不属于农用地及已污染地块</w:t>
                  </w:r>
                  <w:r>
                    <w:rPr>
                      <w:color w:val="000000" w:themeColor="text1"/>
                      <w:szCs w:val="21"/>
                      <w14:textFill>
                        <w14:solidFill>
                          <w14:schemeClr w14:val="tx1"/>
                        </w14:solidFill>
                      </w14:textFill>
                    </w:rPr>
                    <w:t>；</w:t>
                  </w:r>
                </w:p>
                <w:p>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不涉及</w:t>
                  </w:r>
                  <w:r>
                    <w:rPr>
                      <w:rFonts w:hint="eastAsia"/>
                      <w:color w:val="000000" w:themeColor="text1"/>
                      <w:kern w:val="0"/>
                      <w:szCs w:val="21"/>
                      <w14:textFill>
                        <w14:solidFill>
                          <w14:schemeClr w14:val="tx1"/>
                        </w14:solidFill>
                      </w14:textFill>
                    </w:rPr>
                    <w:t>农副产品</w:t>
                  </w:r>
                  <w:r>
                    <w:rPr>
                      <w:color w:val="000000" w:themeColor="text1"/>
                      <w:kern w:val="0"/>
                      <w:szCs w:val="21"/>
                      <w14:textFill>
                        <w14:solidFill>
                          <w14:schemeClr w14:val="tx1"/>
                        </w14:solidFill>
                      </w14:textFill>
                    </w:rPr>
                    <w:t>种植</w:t>
                  </w:r>
                  <w:r>
                    <w:rPr>
                      <w:color w:val="000000" w:themeColor="text1"/>
                      <w:szCs w:val="21"/>
                      <w14:textFill>
                        <w14:solidFill>
                          <w14:schemeClr w14:val="tx1"/>
                        </w14:solidFill>
                      </w14:textFill>
                    </w:rPr>
                    <w:t>且不属于已污染地块</w:t>
                  </w:r>
                </w:p>
              </w:tc>
              <w:tc>
                <w:tcPr>
                  <w:tcW w:w="3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1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资源利用效率要求</w:t>
                  </w:r>
                </w:p>
              </w:tc>
              <w:tc>
                <w:tcPr>
                  <w:tcW w:w="2526" w:type="pct"/>
                  <w:vAlign w:val="center"/>
                </w:tcPr>
                <w:p>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1、农业灌溉水利用系数不低于0.518</w:t>
                  </w:r>
                </w:p>
              </w:tc>
              <w:tc>
                <w:tcPr>
                  <w:tcW w:w="1846" w:type="pct"/>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本项目不涉及农业灌溉，不属于矿产资源开发行业。</w:t>
                  </w:r>
                </w:p>
              </w:tc>
              <w:tc>
                <w:tcPr>
                  <w:tcW w:w="3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符合要求</w:t>
                  </w:r>
                </w:p>
              </w:tc>
            </w:tr>
          </w:tbl>
          <w:p>
            <w:pPr>
              <w:pStyle w:val="2"/>
              <w:spacing w:after="0" w:line="360" w:lineRule="auto"/>
              <w:ind w:left="0" w:leftChars="0" w:firstLine="480" w:firstLineChars="200"/>
              <w:rPr>
                <w:rFonts w:eastAsiaTheme="minorEastAsia"/>
                <w:color w:val="000000" w:themeColor="text1"/>
                <w:szCs w:val="24"/>
                <w14:textFill>
                  <w14:solidFill>
                    <w14:schemeClr w14:val="tx1"/>
                  </w14:solidFill>
                </w14:textFill>
              </w:rPr>
            </w:pPr>
            <w:r>
              <w:rPr>
                <w:color w:val="000000" w:themeColor="text1"/>
                <w:szCs w:val="24"/>
                <w14:textFill>
                  <w14:solidFill>
                    <w14:schemeClr w14:val="tx1"/>
                  </w14:solidFill>
                </w14:textFill>
              </w:rPr>
              <w:t>综上分析：本项目建设符合</w:t>
            </w:r>
            <w:r>
              <w:rPr>
                <w:rFonts w:hint="eastAsia"/>
                <w:color w:val="000000" w:themeColor="text1"/>
                <w:szCs w:val="24"/>
                <w14:textFill>
                  <w14:solidFill>
                    <w14:schemeClr w14:val="tx1"/>
                  </w14:solidFill>
                </w14:textFill>
              </w:rPr>
              <w:t>赣州市及南康区“三线一单”生态环境分区管控方案</w:t>
            </w:r>
            <w:r>
              <w:rPr>
                <w:color w:val="000000" w:themeColor="text1"/>
                <w:szCs w:val="24"/>
                <w14:textFill>
                  <w14:solidFill>
                    <w14:schemeClr w14:val="tx1"/>
                  </w14:solidFill>
                </w14:textFill>
              </w:rPr>
              <w:t>要求</w:t>
            </w:r>
            <w:r>
              <w:rPr>
                <w:rFonts w:hint="eastAsia"/>
                <w:color w:val="000000" w:themeColor="text1"/>
                <w:szCs w:val="24"/>
                <w14:textFill>
                  <w14:solidFill>
                    <w14:schemeClr w14:val="tx1"/>
                  </w14:solidFill>
                </w14:textFill>
              </w:rPr>
              <w:t>。与《赣州市生态环境总体准入要求》</w:t>
            </w:r>
            <w:r>
              <w:rPr>
                <w:rFonts w:hint="eastAsia"/>
                <w:color w:val="000000" w:themeColor="text1"/>
                <w14:textFill>
                  <w14:solidFill>
                    <w14:schemeClr w14:val="tx1"/>
                  </w14:solidFill>
                </w14:textFill>
              </w:rPr>
              <w:t>文件</w:t>
            </w:r>
            <w:r>
              <w:rPr>
                <w:rFonts w:hint="eastAsia"/>
                <w:color w:val="000000" w:themeColor="text1"/>
                <w:szCs w:val="24"/>
                <w14:textFill>
                  <w14:solidFill>
                    <w14:schemeClr w14:val="tx1"/>
                  </w14:solidFill>
                </w14:textFill>
              </w:rPr>
              <w:t>及《赣州市环境管控单元生态环境准入清单》的通知》（赣市环委</w:t>
            </w:r>
            <w:r>
              <w:rPr>
                <w:rFonts w:eastAsiaTheme="minorEastAsia"/>
                <w:color w:val="000000" w:themeColor="text1"/>
                <w:szCs w:val="24"/>
                <w14:textFill>
                  <w14:solidFill>
                    <w14:schemeClr w14:val="tx1"/>
                  </w14:solidFill>
                </w14:textFill>
              </w:rPr>
              <w:t>办字[2021]5号）要求相符。</w:t>
            </w:r>
          </w:p>
          <w:p>
            <w:pPr>
              <w:autoSpaceDE w:val="0"/>
              <w:autoSpaceDN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（5）</w:t>
            </w:r>
            <w:r>
              <w:rPr>
                <w:rFonts w:hint="eastAsia" w:eastAsiaTheme="minorEastAsia"/>
                <w:color w:val="000000" w:themeColor="text1"/>
                <w:sz w:val="24"/>
                <w14:textFill>
                  <w14:solidFill>
                    <w14:schemeClr w14:val="tx1"/>
                  </w14:solidFill>
                </w14:textFill>
              </w:rPr>
              <w:t>与《江西省生态环境厅印发&lt;江西省生态环境厅统筹做好疫情防控和复工复产生态环境工作6条措施&gt;的通知》（赣环办〔2020〕8号）文件相符性分析</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江西省生态环境厅印发&lt;江西省生态环境厅统筹做好疫情防控和复工复产生态环境工作6条措施&gt;的通知》（赣环办〔2020〕8号）第三条提到：简化生态环境行政许可手续。制定和实施环评审批正面清单，采取特殊政策，全力服务企业复工复产。第四条提到：优化生态环境监管方式。制定和实施监督执法正面清单，采取特殊政策，全力服务企业复工复产。第六条提到：推行差异化监管。根据疫情防控形势和分区分级精准复工复产有关要求，适时进一步采取差异化生态环境监管措施并实行动态调整，环评审批正面清单和监督执法正面清单实施时间原则上截至2020年年底，根据形势需要可适当延长。对行之有效、广泛认可的措施，可以固化形成长效机制。</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本项目属于该文件中所列的“附件1 江西省环境影响评价审批正面清单”中“殡仪馆、陵园、公墓”类项目，属于审批正面清单项目，与该文件所列规定相符。</w:t>
            </w:r>
          </w:p>
          <w:p>
            <w:pPr>
              <w:pStyle w:val="3"/>
              <w:pBdr>
                <w:bottom w:val="none" w:color="auto" w:sz="0" w:space="0"/>
              </w:pBdr>
              <w:snapToGrid/>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（6）与《江西省生态环境厅深化环境影响评价领域“放管服”改革12条措施的通知》（赣环环评[2021]26号）文件相符性分析</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江西省生态环境厅深化环境影响评价领域“放管服”改革12条措施的通知》（赣环环评[2021]26号）文件第二条提出：实行环评审批正面清单常态化。将疫情期间实施的环评审批正面清单制度转为常态化制度，继续实行环评告知承诺审批制度，适时更新环评告知承诺审批的项目类别和范围；无缝衔接排污许可管理要求，对已纳入排污许可登记管理类、生态环境影响较小的工业制造项目，实行环评豁免；对疫情防控、救灾抢险等国家突发公共事件急需的建设项目，视环境影响程度，采取豁免审批、先开工后补办手续等方式，继续实行环评应急服务保障政策。</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第十条提出：清理解决历史遗留问题。对历史上企业不合理承诺以及“未批先建”等项目开展调研摸底，在确保生态环境安全、满足污染物总量控制要求的前提下，根据实际情况，分类加以规范；对环评审批时所依据的法律、法规和标准、规范修改或者废止的建设项目，企业可结合项目建设实际，重新开展环境影响评价并提出环评审批申请，有关部门应予以受理。</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本项目于上世纪70年代建设开工并正式投入使用，由于历史遗留问题，环评手续一直缺失，属事实意义的“未批先建”类项目，此次环评在确保生态环境安全、满足污染物总量控制要求的前提下，对本项目的废水、废气、噪声、固废排放做了充分的论证，重新开展环境影响评价并提出环评审批申请，与《江西省生态环境厅深化环境影响评价领域“放管服”改革12条措施的通知》（赣环环评[2021]26号）文件规定相符。</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（7）与《殡仪馆建设标准》（建标181-2017）相符性分析</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按照该标准中殡仪馆建设规模分类，本项目年处理遗体3200具，属于IV类殡仪馆。</w:t>
            </w:r>
          </w:p>
          <w:p>
            <w:pPr>
              <w:pStyle w:val="4"/>
              <w:spacing w:before="0" w:beforeAutospacing="0" w:after="0" w:afterAutospacing="0"/>
              <w:jc w:val="center"/>
              <w:rPr>
                <w:rFonts w:eastAsiaTheme="minorEastAsia"/>
                <w:b/>
                <w:color w:val="000000" w:themeColor="text1"/>
                <w:sz w:val="24"/>
                <w:szCs w:val="24"/>
                <w14:textFill>
                  <w14:solidFill>
                    <w14:schemeClr w14:val="tx1"/>
                  </w14:solidFill>
                </w14:textFill>
              </w:rPr>
            </w:pPr>
            <w:r>
              <w:rPr>
                <w:rFonts w:hint="eastAsia" w:eastAsiaTheme="minorEastAsia"/>
                <w:b/>
                <w:color w:val="000000" w:themeColor="text1"/>
                <w:sz w:val="24"/>
                <w:szCs w:val="24"/>
                <w14:textFill>
                  <w14:solidFill>
                    <w14:schemeClr w14:val="tx1"/>
                  </w14:solidFill>
                </w14:textFill>
              </w:rPr>
              <w:t>表1-4  与《殡仪馆建设标准》（建标181-2017）相符性分析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7"/>
              <w:gridCol w:w="2978"/>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规定内容</w:t>
                  </w:r>
                </w:p>
              </w:tc>
              <w:tc>
                <w:tcPr>
                  <w:tcW w:w="2190" w:type="pc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本项目情况</w:t>
                  </w:r>
                </w:p>
              </w:tc>
              <w:tc>
                <w:tcPr>
                  <w:tcW w:w="804" w:type="pc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符合用地分类原则和规划管理、殡葬管理条例以及国家现行有关标准的规定。</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本项目自70年代建成运营，选址符合相关规定</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具备满足工程建设的工程地质条件和水文地质条件。</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本项目所在区域未曾发生过地震、洪水等自然灾害，工程地质条件和水文地质条件较好</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仪馆宜建在当地常年主导风向的下风侧，并应有利于排水和空气扩散。</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本项目所在区域位于当地常年主导风向的测风向，不位于城区上风向。</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交通、给排水、供电有保障。</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本项目交通较为方便，由市政管网供水供电，废污水排入唐江镇污水处理站</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考虑到殡葬工作的特殊性，尽量选择周边单位和居民较少、相对独立、交通便利的地域，并处理好与周边单位及居民的关系，符合现行国家标准《火葬场卫生防护距离标准》GB18081的规定。</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本项目周边居民较少，东侧有唐平南路经过，交通便利，不位于人员密集区域，建成后未收到附近居民对于本项目的投诉，与周边单位居民关系较为良好。</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布局合理，节约用地。殡仪馆建筑布局应根据殡仪服务流程科学设计，功能分区明确，同一功能区内的建筑用房可相对集中布置，管理及后勤区宜独立设置。</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本项目布局较为合理，各服务环节流程较为流畅，服务流程无迂回，功能分区较为明确，员工办公管理用房远离火化车间，独立设计，布局合理。</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合理组织交通，馆区内应设接运遗体的专用道路和专用出入口。</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本项目已设置接运遗体的专用道路和专用出入口。</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应设置室外公共活动场地和公共厕所。</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本项目已设置室外公共活动场地和公共卫生间。</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应配套建设机动车和非机动车停车设施，殡仪车停车场与公共停车场分开设置，并符合当地政府相关规定。</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本项目已配套建设停车场，殡仪服务车辆有专用停车区，与公共停车场相互独立。</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火化间宜单独设置，火化间的建筑结构、平面布局和层高等应满足火化机及后处理设备的安装和使用条件，并符合现行行业标准《殡仪馆建筑设计规范》GJ 124中的有关规定。</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本项目火花机单独设施，按照《殡仪馆建筑设计规范》GJ 124中规定内容设计</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殡仪馆应设给排水系统，并应符合国家有关标准的规定。遗体处理区用房产生的污水应进行消毒净化处理，达到国家相关排放标准后，与生活污水分流排出。</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本项目有独立排水系统，日常运营过程中产生的废污水经消毒池消毒处理后达到唐江镇污水处理站接管标准，排入唐江镇污水处理站作深度处理</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火化区、遗体处理区和员工休息室应设热水供应系统，管理及后勤区用房宜设热水供应系统。</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本项目设置热水供应系统</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火化间、防腐室、整容室、冷藏间、接尸间、停尸间应采用机械通风。业务区用房、员工休息室、候灰室、悼念厅可根据实际需要设置空气调节系统。</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本项目火化间、防腐室、整容室、冷藏间、接尸间、停尸间设置独立通风系统，业务区用房、员工休息室、候灰室、悼念厅等设置空调。</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殡仪馆的供电设施应安全可靠，保证遗体火化时火化设备供电不间断。</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殡仪馆设置有备用电源，保证遗体火化时火化设备供电不间断</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殡仪馆用房照度应满足国家有关标准要求。火化区、业务区、悼念区、遗体处理区应设置应急照明，其中疏散通道、主要疏散出口应急照明的地面照度不应小于50lx，照明时间不应小于20min。</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本项目照明照度应满足国家有关标准要求。火化区、业务区、悼念区、遗体处理区已设置应急照明。</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殡仪馆的建筑应满足民用建筑设计防火规范，并应设消防系统。</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殡仪馆的建筑满足民用建筑设计防火规范，已设置消防系统。</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IV类殡仪馆应配置2~4台火化机</w:t>
                  </w:r>
                </w:p>
              </w:tc>
              <w:tc>
                <w:tcPr>
                  <w:tcW w:w="219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本项目配有4台火化炉</w:t>
                  </w:r>
                </w:p>
              </w:tc>
              <w:tc>
                <w:tcPr>
                  <w:tcW w:w="80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符合</w:t>
                  </w:r>
                </w:p>
              </w:tc>
            </w:tr>
          </w:tbl>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只要本项目日常规范营运，严格执行此次环评中提出的相关环保措施，对废气处理设施进行良好的运营维护，本项目的建设不会对周围环境产生较大影响。</w:t>
            </w:r>
          </w:p>
          <w:p>
            <w:pPr>
              <w:pStyle w:val="4"/>
              <w:spacing w:before="0" w:beforeAutospacing="0" w:after="0" w:afterAutospacing="0"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综上所述，本项目的建设符合国家相关标准的规定。</w:t>
            </w:r>
          </w:p>
          <w:p>
            <w:pPr>
              <w:pStyle w:val="4"/>
              <w:spacing w:before="0" w:beforeAutospacing="0" w:after="0" w:afterAutospacing="0" w:line="360" w:lineRule="auto"/>
              <w:ind w:firstLine="600" w:firstLineChars="200"/>
              <w:rPr>
                <w:rFonts w:eastAsiaTheme="minorEastAsia"/>
                <w:color w:val="000000" w:themeColor="text1"/>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eastAsia="黑体"/>
          <w:color w:val="000000" w:themeColor="text1"/>
          <w:sz w:val="30"/>
          <w:szCs w:val="30"/>
          <w14:textFill>
            <w14:solidFill>
              <w14:schemeClr w14:val="tx1"/>
            </w14:solidFill>
          </w14:textFill>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1" w:hRule="atLeast"/>
          <w:jc w:val="center"/>
        </w:trPr>
        <w:tc>
          <w:tcPr>
            <w:tcW w:w="823"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8161" w:type="dxa"/>
          </w:tcPr>
          <w:p>
            <w:pPr>
              <w:adjustRightInd w:val="0"/>
              <w:snapToGrid w:val="0"/>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1、项目概况</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项目名称：</w:t>
            </w:r>
            <w:r>
              <w:rPr>
                <w:rFonts w:hint="eastAsia"/>
                <w:color w:val="000000" w:themeColor="text1"/>
                <w:sz w:val="24"/>
                <w14:textFill>
                  <w14:solidFill>
                    <w14:schemeClr w14:val="tx1"/>
                  </w14:solidFill>
                </w14:textFill>
              </w:rPr>
              <w:t>南康区殡仪馆建设项目</w:t>
            </w:r>
            <w:r>
              <w:rPr>
                <w:rFonts w:hint="eastAsia"/>
                <w:bCs/>
                <w:color w:val="000000" w:themeColor="text1"/>
                <w:sz w:val="24"/>
                <w14:textFill>
                  <w14:solidFill>
                    <w14:schemeClr w14:val="tx1"/>
                  </w14:solidFill>
                </w14:textFill>
              </w:rPr>
              <w:t>；</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建设单位：赣州市南康区殡葬管理所；</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项目性质：新建（补办环评）；</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行业类别：殡葬服务 O8080；</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建设地点：南康区</w:t>
            </w:r>
            <w:r>
              <w:rPr>
                <w:bCs/>
                <w:color w:val="000000" w:themeColor="text1"/>
                <w:sz w:val="24"/>
                <w14:textFill>
                  <w14:solidFill>
                    <w14:schemeClr w14:val="tx1"/>
                  </w14:solidFill>
                </w14:textFill>
              </w:rPr>
              <w:t>唐江镇星光村，地理坐标：东经114°43'47.066"，北纬：25°46'59.267"；</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项目总投资：4000万元（注：本项目刚建成时总投资263万元，后投资金额逐年增加，至今为止已实际投资4000万元）；</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周边环境概况：本项目已建成投产，项目北侧、西侧主要为普通山地，东侧为唐平南路，南侧为若干小型家具厂，周边主要敏感点为项目厂界西南侧251m的下岭孜居民点，经现场踏勘，本项目正门附近有零星自建房，为附近农户自建便利商店，售卖售卖骨灰盒、菊花等祭品，非常住居民。本项目具体地理位置见附图1，周边环境概况见附图2；</w:t>
            </w:r>
          </w:p>
          <w:p>
            <w:pPr>
              <w:spacing w:line="360" w:lineRule="auto"/>
              <w:ind w:firstLine="480" w:firstLineChars="200"/>
              <w:rPr>
                <w:color w:val="000000" w:themeColor="text1"/>
                <w:kern w:val="24"/>
                <w:sz w:val="24"/>
                <w:szCs w:val="22"/>
                <w14:textFill>
                  <w14:solidFill>
                    <w14:schemeClr w14:val="tx1"/>
                  </w14:solidFill>
                </w14:textFill>
              </w:rPr>
            </w:pPr>
            <w:r>
              <w:rPr>
                <w:color w:val="000000" w:themeColor="text1"/>
                <w:kern w:val="24"/>
                <w:sz w:val="24"/>
                <w:szCs w:val="22"/>
                <w14:textFill>
                  <w14:solidFill>
                    <w14:schemeClr w14:val="tx1"/>
                  </w14:solidFill>
                </w14:textFill>
              </w:rPr>
              <w:t>工作定员</w:t>
            </w:r>
            <w:r>
              <w:rPr>
                <w:rFonts w:hint="eastAsia"/>
                <w:color w:val="000000" w:themeColor="text1"/>
                <w:kern w:val="24"/>
                <w:sz w:val="24"/>
                <w:szCs w:val="22"/>
                <w14:textFill>
                  <w14:solidFill>
                    <w14:schemeClr w14:val="tx1"/>
                  </w14:solidFill>
                </w14:textFill>
              </w:rPr>
              <w:t>及班制</w:t>
            </w:r>
            <w:r>
              <w:rPr>
                <w:color w:val="000000" w:themeColor="text1"/>
                <w:kern w:val="24"/>
                <w:sz w:val="24"/>
                <w:szCs w:val="22"/>
                <w14:textFill>
                  <w14:solidFill>
                    <w14:schemeClr w14:val="tx1"/>
                  </w14:solidFill>
                </w14:textFill>
              </w:rPr>
              <w:t>：职工</w:t>
            </w:r>
            <w:r>
              <w:rPr>
                <w:rFonts w:hint="eastAsia"/>
                <w:color w:val="000000" w:themeColor="text1"/>
                <w:kern w:val="24"/>
                <w:sz w:val="24"/>
                <w:szCs w:val="22"/>
                <w14:textFill>
                  <w14:solidFill>
                    <w14:schemeClr w14:val="tx1"/>
                  </w14:solidFill>
                </w14:textFill>
              </w:rPr>
              <w:t>33</w:t>
            </w:r>
            <w:r>
              <w:rPr>
                <w:color w:val="000000" w:themeColor="text1"/>
                <w:kern w:val="24"/>
                <w:sz w:val="24"/>
                <w:szCs w:val="22"/>
                <w14:textFill>
                  <w14:solidFill>
                    <w14:schemeClr w14:val="tx1"/>
                  </w14:solidFill>
                </w14:textFill>
              </w:rPr>
              <w:t>人，其中</w:t>
            </w:r>
            <w:r>
              <w:rPr>
                <w:rFonts w:hint="eastAsia"/>
                <w:color w:val="000000" w:themeColor="text1"/>
                <w:kern w:val="24"/>
                <w:sz w:val="24"/>
                <w:szCs w:val="22"/>
                <w14:textFill>
                  <w14:solidFill>
                    <w14:schemeClr w14:val="tx1"/>
                  </w14:solidFill>
                </w14:textFill>
              </w:rPr>
              <w:t>6人</w:t>
            </w:r>
            <w:r>
              <w:rPr>
                <w:color w:val="000000" w:themeColor="text1"/>
                <w:kern w:val="24"/>
                <w:sz w:val="24"/>
                <w:szCs w:val="22"/>
                <w14:textFill>
                  <w14:solidFill>
                    <w14:schemeClr w14:val="tx1"/>
                  </w14:solidFill>
                </w14:textFill>
              </w:rPr>
              <w:t>在厂内食宿</w:t>
            </w:r>
            <w:r>
              <w:rPr>
                <w:rFonts w:hint="eastAsia"/>
                <w:color w:val="000000" w:themeColor="text1"/>
                <w:kern w:val="24"/>
                <w:sz w:val="24"/>
                <w:szCs w:val="22"/>
                <w14:textFill>
                  <w14:solidFill>
                    <w14:schemeClr w14:val="tx1"/>
                  </w14:solidFill>
                </w14:textFill>
              </w:rPr>
              <w:t>，本项目作息时间按照国家法定节假日安排，</w:t>
            </w:r>
            <w:r>
              <w:rPr>
                <w:color w:val="000000" w:themeColor="text1"/>
                <w:kern w:val="24"/>
                <w:sz w:val="24"/>
                <w:szCs w:val="22"/>
                <w14:textFill>
                  <w14:solidFill>
                    <w14:schemeClr w14:val="tx1"/>
                  </w14:solidFill>
                </w14:textFill>
              </w:rPr>
              <w:t>年工作3</w:t>
            </w:r>
            <w:r>
              <w:rPr>
                <w:rFonts w:hint="eastAsia"/>
                <w:color w:val="000000" w:themeColor="text1"/>
                <w:kern w:val="24"/>
                <w:sz w:val="24"/>
                <w:szCs w:val="22"/>
                <w14:textFill>
                  <w14:solidFill>
                    <w14:schemeClr w14:val="tx1"/>
                  </w14:solidFill>
                </w14:textFill>
              </w:rPr>
              <w:t>3</w:t>
            </w:r>
            <w:r>
              <w:rPr>
                <w:color w:val="000000" w:themeColor="text1"/>
                <w:kern w:val="24"/>
                <w:sz w:val="24"/>
                <w:szCs w:val="22"/>
                <w14:textFill>
                  <w14:solidFill>
                    <w14:schemeClr w14:val="tx1"/>
                  </w14:solidFill>
                </w14:textFill>
              </w:rPr>
              <w:t>0天，每天8小时</w:t>
            </w:r>
            <w:r>
              <w:rPr>
                <w:rFonts w:hint="eastAsia"/>
                <w:color w:val="000000" w:themeColor="text1"/>
                <w:kern w:val="24"/>
                <w:sz w:val="24"/>
                <w:szCs w:val="22"/>
                <w14:textFill>
                  <w14:solidFill>
                    <w14:schemeClr w14:val="tx1"/>
                  </w14:solidFill>
                </w14:textFill>
              </w:rPr>
              <w:t>。</w:t>
            </w:r>
          </w:p>
          <w:p>
            <w:pPr>
              <w:adjustRightInd w:val="0"/>
              <w:snapToGrid w:val="0"/>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项目</w:t>
            </w:r>
            <w:r>
              <w:rPr>
                <w:b/>
                <w:color w:val="000000" w:themeColor="text1"/>
                <w:sz w:val="24"/>
                <w14:textFill>
                  <w14:solidFill>
                    <w14:schemeClr w14:val="tx1"/>
                  </w14:solidFill>
                </w14:textFill>
              </w:rPr>
              <w:t>建设内容</w:t>
            </w:r>
            <w:r>
              <w:rPr>
                <w:rFonts w:hint="eastAsia"/>
                <w:b/>
                <w:color w:val="000000" w:themeColor="text1"/>
                <w:sz w:val="24"/>
                <w14:textFill>
                  <w14:solidFill>
                    <w14:schemeClr w14:val="tx1"/>
                  </w14:solidFill>
                </w14:textFill>
              </w:rPr>
              <w:t>及产品方案</w:t>
            </w:r>
          </w:p>
          <w:p>
            <w:pPr>
              <w:spacing w:line="360" w:lineRule="auto"/>
              <w:ind w:firstLine="480" w:firstLineChars="200"/>
              <w:rPr>
                <w:color w:val="000000" w:themeColor="text1"/>
                <w:kern w:val="24"/>
                <w:sz w:val="24"/>
                <w:szCs w:val="22"/>
                <w14:textFill>
                  <w14:solidFill>
                    <w14:schemeClr w14:val="tx1"/>
                  </w14:solidFill>
                </w14:textFill>
              </w:rPr>
            </w:pPr>
            <w:r>
              <w:rPr>
                <w:rFonts w:hint="eastAsia"/>
                <w:color w:val="000000" w:themeColor="text1"/>
                <w:kern w:val="24"/>
                <w:sz w:val="24"/>
                <w:szCs w:val="22"/>
                <w14:textFill>
                  <w14:solidFill>
                    <w14:schemeClr w14:val="tx1"/>
                  </w14:solidFill>
                </w14:textFill>
              </w:rPr>
              <w:t>（1）</w:t>
            </w:r>
            <w:r>
              <w:rPr>
                <w:b/>
                <w:color w:val="000000" w:themeColor="text1"/>
                <w:sz w:val="24"/>
                <w14:textFill>
                  <w14:solidFill>
                    <w14:schemeClr w14:val="tx1"/>
                  </w14:solidFill>
                </w14:textFill>
              </w:rPr>
              <w:t>建设内容</w:t>
            </w:r>
          </w:p>
          <w:p>
            <w:pPr>
              <w:spacing w:line="360" w:lineRule="auto"/>
              <w:ind w:firstLine="480" w:firstLineChars="200"/>
              <w:rPr>
                <w:color w:val="000000" w:themeColor="text1"/>
                <w:kern w:val="24"/>
                <w:sz w:val="24"/>
                <w:szCs w:val="22"/>
                <w14:textFill>
                  <w14:solidFill>
                    <w14:schemeClr w14:val="tx1"/>
                  </w14:solidFill>
                </w14:textFill>
              </w:rPr>
            </w:pPr>
            <w:r>
              <w:rPr>
                <w:color w:val="000000" w:themeColor="text1"/>
                <w:kern w:val="24"/>
                <w:sz w:val="24"/>
                <w:szCs w:val="22"/>
                <w14:textFill>
                  <w14:solidFill>
                    <w14:schemeClr w14:val="tx1"/>
                  </w14:solidFill>
                </w14:textFill>
              </w:rPr>
              <w:t>项目</w:t>
            </w:r>
            <w:r>
              <w:rPr>
                <w:rFonts w:hint="eastAsia"/>
                <w:color w:val="000000" w:themeColor="text1"/>
                <w:kern w:val="24"/>
                <w:sz w:val="24"/>
                <w:szCs w:val="22"/>
                <w14:textFill>
                  <w14:solidFill>
                    <w14:schemeClr w14:val="tx1"/>
                  </w14:solidFill>
                </w14:textFill>
              </w:rPr>
              <w:t>红线范围内</w:t>
            </w:r>
            <w:r>
              <w:rPr>
                <w:color w:val="000000" w:themeColor="text1"/>
                <w:kern w:val="24"/>
                <w:sz w:val="24"/>
                <w:szCs w:val="22"/>
                <w14:textFill>
                  <w14:solidFill>
                    <w14:schemeClr w14:val="tx1"/>
                  </w14:solidFill>
                </w14:textFill>
              </w:rPr>
              <w:t>面积为102266.67m</w:t>
            </w:r>
            <w:r>
              <w:rPr>
                <w:color w:val="000000" w:themeColor="text1"/>
                <w:kern w:val="24"/>
                <w:sz w:val="24"/>
                <w:szCs w:val="22"/>
                <w:vertAlign w:val="superscript"/>
                <w14:textFill>
                  <w14:solidFill>
                    <w14:schemeClr w14:val="tx1"/>
                  </w14:solidFill>
                </w14:textFill>
              </w:rPr>
              <w:t>2</w:t>
            </w:r>
            <w:r>
              <w:rPr>
                <w:color w:val="000000" w:themeColor="text1"/>
                <w:kern w:val="24"/>
                <w:sz w:val="24"/>
                <w:szCs w:val="22"/>
                <w14:textFill>
                  <w14:solidFill>
                    <w14:schemeClr w14:val="tx1"/>
                  </w14:solidFill>
                </w14:textFill>
              </w:rPr>
              <w:t>，</w:t>
            </w:r>
            <w:r>
              <w:rPr>
                <w:rFonts w:hint="eastAsia"/>
                <w:color w:val="000000" w:themeColor="text1"/>
                <w:kern w:val="24"/>
                <w:sz w:val="24"/>
                <w:szCs w:val="22"/>
                <w14:textFill>
                  <w14:solidFill>
                    <w14:schemeClr w14:val="tx1"/>
                  </w14:solidFill>
                </w14:textFill>
              </w:rPr>
              <w:t>主要建设内容见表2-1。</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-1  建设项目组成一览表</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543"/>
              <w:gridCol w:w="4190"/>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073" w:type="pct"/>
                  <w:gridSpan w:val="3"/>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项目组成</w:t>
                  </w:r>
                </w:p>
              </w:tc>
              <w:tc>
                <w:tcPr>
                  <w:tcW w:w="927" w:type="pct"/>
                  <w:vMerge w:val="restar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火化车间</w:t>
                  </w:r>
                </w:p>
              </w:tc>
              <w:tc>
                <w:tcPr>
                  <w:tcW w:w="2639" w:type="pct"/>
                  <w:vAlign w:val="center"/>
                </w:tcPr>
                <w:p>
                  <w:pPr>
                    <w:jc w:val="center"/>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594</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冷藏室</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210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解剖室</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间，建筑面积</w:t>
                  </w:r>
                  <w:r>
                    <w:rPr>
                      <w:rFonts w:hint="eastAsia"/>
                      <w:color w:val="000000" w:themeColor="text1"/>
                      <w:szCs w:val="21"/>
                      <w14:textFill>
                        <w14:solidFill>
                          <w14:schemeClr w14:val="tx1"/>
                        </w14:solidFill>
                      </w14:textFill>
                    </w:rPr>
                    <w:t>150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悼念厅</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1178</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公墓区</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占地面积16650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柴油库房</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占地面积20m</w:t>
                  </w:r>
                  <w:r>
                    <w:rPr>
                      <w:rFonts w:hint="eastAsia"/>
                      <w:color w:val="000000" w:themeColor="text1"/>
                      <w:szCs w:val="21"/>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辅助工程</w:t>
                  </w: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办公楼</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层，建筑面积</w:t>
                  </w:r>
                  <w:r>
                    <w:rPr>
                      <w:rFonts w:hint="eastAsia"/>
                      <w:color w:val="000000" w:themeColor="text1"/>
                      <w:szCs w:val="21"/>
                      <w14:textFill>
                        <w14:solidFill>
                          <w14:schemeClr w14:val="tx1"/>
                        </w14:solidFill>
                      </w14:textFill>
                    </w:rPr>
                    <w:t>372</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职工宿舍</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层，建筑面积</w:t>
                  </w:r>
                  <w:r>
                    <w:rPr>
                      <w:rFonts w:hint="eastAsia"/>
                      <w:color w:val="000000" w:themeColor="text1"/>
                      <w:szCs w:val="21"/>
                      <w14:textFill>
                        <w14:solidFill>
                          <w14:schemeClr w14:val="tx1"/>
                        </w14:solidFill>
                      </w14:textFill>
                    </w:rPr>
                    <w:t>744</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风机房</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200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附属用房</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间，建筑面积</w:t>
                  </w:r>
                  <w:r>
                    <w:rPr>
                      <w:rFonts w:hint="eastAsia"/>
                      <w:color w:val="000000" w:themeColor="text1"/>
                      <w:szCs w:val="21"/>
                      <w14:textFill>
                        <w14:solidFill>
                          <w14:schemeClr w14:val="tx1"/>
                        </w14:solidFill>
                      </w14:textFill>
                    </w:rPr>
                    <w:t>460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仓库</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300</w:t>
                  </w:r>
                  <w:r>
                    <w:rPr>
                      <w:color w:val="000000" w:themeColor="text1"/>
                      <w:kern w:val="24"/>
                      <w:sz w:val="24"/>
                      <w14:textFill>
                        <w14:solidFill>
                          <w14:schemeClr w14:val="tx1"/>
                        </w14:solidFill>
                      </w14:textFill>
                    </w:rPr>
                    <w:t>m</w:t>
                  </w:r>
                  <w:r>
                    <w:rPr>
                      <w:color w:val="000000" w:themeColor="text1"/>
                      <w:kern w:val="24"/>
                      <w:sz w:val="24"/>
                      <w:vertAlign w:val="superscript"/>
                      <w14:textFill>
                        <w14:solidFill>
                          <w14:schemeClr w14:val="tx1"/>
                        </w14:solidFill>
                      </w14:textFill>
                    </w:rPr>
                    <w:t>2</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供水系统</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14:textFill>
                        <w14:solidFill>
                          <w14:schemeClr w14:val="tx1"/>
                        </w14:solidFill>
                      </w14:textFill>
                    </w:rPr>
                    <w:t>市政供水管网</w:t>
                  </w:r>
                  <w:r>
                    <w:rPr>
                      <w:color w:val="000000" w:themeColor="text1"/>
                      <w:szCs w:val="21"/>
                      <w14:textFill>
                        <w14:solidFill>
                          <w14:schemeClr w14:val="tx1"/>
                        </w14:solidFill>
                      </w14:textFill>
                    </w:rPr>
                    <w:t>供水</w:t>
                  </w:r>
                </w:p>
              </w:tc>
              <w:tc>
                <w:tcPr>
                  <w:tcW w:w="927"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供电系统</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由市政电网供给</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排水系统</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雨污分流</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暖通系统</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本项目不设集中供暖，办公人员冬季供暖与夏季供冷由室内空调提供</w:t>
                  </w:r>
                </w:p>
              </w:tc>
              <w:tc>
                <w:tcPr>
                  <w:tcW w:w="92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污水处理设施</w:t>
                  </w:r>
                </w:p>
              </w:tc>
              <w:tc>
                <w:tcPr>
                  <w:tcW w:w="26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消毒池、化粪池</w:t>
                  </w:r>
                </w:p>
              </w:tc>
              <w:tc>
                <w:tcPr>
                  <w:tcW w:w="92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废气处理设施</w:t>
                  </w:r>
                </w:p>
              </w:tc>
              <w:tc>
                <w:tcPr>
                  <w:tcW w:w="2639" w:type="pct"/>
                  <w:vAlign w:val="center"/>
                </w:tcPr>
                <w:p>
                  <w:pPr>
                    <w:pStyle w:val="86"/>
                    <w:rPr>
                      <w:rFonts w:ascii="Times New Roman" w:hAnsi="Times New Roman" w:eastAsia="宋体" w:cs="Times New Roman"/>
                      <w:color w:val="000000" w:themeColor="text1"/>
                      <w:szCs w:val="21"/>
                      <w:lang w:val="en-US" w:bidi="ar-SA"/>
                      <w14:textFill>
                        <w14:solidFill>
                          <w14:schemeClr w14:val="tx1"/>
                        </w14:solidFill>
                      </w14:textFill>
                    </w:rPr>
                  </w:pPr>
                  <w:r>
                    <w:rPr>
                      <w:rFonts w:ascii="Times New Roman" w:hAnsi="Times New Roman" w:eastAsia="宋体" w:cs="Times New Roman"/>
                      <w:color w:val="000000" w:themeColor="text1"/>
                      <w:szCs w:val="21"/>
                      <w:lang w:val="en-US" w:bidi="ar-SA"/>
                      <w14:textFill>
                        <w14:solidFill>
                          <w14:schemeClr w14:val="tx1"/>
                        </w14:solidFill>
                      </w14:textFill>
                    </w:rPr>
                    <w:t>火化炉废气（</w:t>
                  </w:r>
                  <w:r>
                    <w:rPr>
                      <w:rFonts w:ascii="Times New Roman" w:hAnsi="Times New Roman"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lang w:val="en-US" w:bidi="ar-SA"/>
                      <w14:textFill>
                        <w14:solidFill>
                          <w14:schemeClr w14:val="tx1"/>
                        </w14:solidFill>
                      </w14:textFill>
                    </w:rPr>
                    <w:t>套）：急冷装置+布袋除尘+双碱水膜脱硫+活性炭处理后通过15m高排气筒排放</w:t>
                  </w:r>
                </w:p>
                <w:p>
                  <w:pPr>
                    <w:pStyle w:val="86"/>
                    <w:rPr>
                      <w:rFonts w:ascii="Times New Roman" w:hAnsi="Times New Roman" w:eastAsia="宋体" w:cs="Times New Roman"/>
                      <w:color w:val="000000" w:themeColor="text1"/>
                      <w:szCs w:val="21"/>
                      <w:lang w:val="en-US" w:bidi="ar-SA"/>
                      <w14:textFill>
                        <w14:solidFill>
                          <w14:schemeClr w14:val="tx1"/>
                        </w14:solidFill>
                      </w14:textFill>
                    </w:rPr>
                  </w:pPr>
                  <w:r>
                    <w:rPr>
                      <w:rFonts w:ascii="Times New Roman" w:hAnsi="Times New Roman" w:eastAsia="宋体" w:cs="Times New Roman"/>
                      <w:color w:val="000000" w:themeColor="text1"/>
                      <w:szCs w:val="21"/>
                      <w:lang w:val="en-US" w:bidi="ar-SA"/>
                      <w14:textFill>
                        <w14:solidFill>
                          <w14:schemeClr w14:val="tx1"/>
                        </w14:solidFill>
                      </w14:textFill>
                    </w:rPr>
                    <w:t>食堂油烟：油烟净化器净化处理</w:t>
                  </w:r>
                </w:p>
              </w:tc>
              <w:tc>
                <w:tcPr>
                  <w:tcW w:w="92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噪声处理设施</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消声减振、隔音处理</w:t>
                  </w:r>
                </w:p>
              </w:tc>
              <w:tc>
                <w:tcPr>
                  <w:tcW w:w="92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continue"/>
                  <w:vAlign w:val="center"/>
                </w:tcPr>
                <w:p>
                  <w:pPr>
                    <w:jc w:val="center"/>
                    <w:rPr>
                      <w:color w:val="000000" w:themeColor="text1"/>
                      <w:szCs w:val="21"/>
                      <w14:textFill>
                        <w14:solidFill>
                          <w14:schemeClr w14:val="tx1"/>
                        </w14:solidFill>
                      </w14:textFill>
                    </w:rPr>
                  </w:pPr>
                </w:p>
              </w:tc>
              <w:tc>
                <w:tcPr>
                  <w:tcW w:w="9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固废收集设施</w:t>
                  </w:r>
                </w:p>
              </w:tc>
              <w:tc>
                <w:tcPr>
                  <w:tcW w:w="26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危废暂存间（占地</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，有效容积</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2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（2）产品方案</w:t>
            </w:r>
          </w:p>
          <w:p>
            <w:pPr>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kern w:val="24"/>
                <w:sz w:val="24"/>
                <w14:textFill>
                  <w14:solidFill>
                    <w14:schemeClr w14:val="tx1"/>
                  </w14:solidFill>
                </w14:textFill>
              </w:rPr>
              <w:t>本项目每年营运330日，平均每台火化炉日均处理遗体2~3具，满负荷状态下，</w:t>
            </w:r>
            <w:r>
              <w:rPr>
                <w:color w:val="000000" w:themeColor="text1"/>
                <w:kern w:val="24"/>
                <w:sz w:val="24"/>
                <w14:textFill>
                  <w14:solidFill>
                    <w14:schemeClr w14:val="tx1"/>
                  </w14:solidFill>
                </w14:textFill>
              </w:rPr>
              <w:t>本项目</w:t>
            </w:r>
            <w:r>
              <w:rPr>
                <w:rFonts w:hint="eastAsia"/>
                <w:color w:val="000000" w:themeColor="text1"/>
                <w:kern w:val="24"/>
                <w:sz w:val="24"/>
                <w14:textFill>
                  <w14:solidFill>
                    <w14:schemeClr w14:val="tx1"/>
                  </w14:solidFill>
                </w14:textFill>
              </w:rPr>
              <w:t>年火化遗体3200具。</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主要设备清单</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项目主要设备清单见表2-2。</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 xml:space="preserve">  项目主要生产设备一览表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528"/>
              <w:gridCol w:w="2663"/>
              <w:gridCol w:w="2377"/>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tblHeader/>
                <w:jc w:val="center"/>
              </w:trPr>
              <w:tc>
                <w:tcPr>
                  <w:tcW w:w="2008" w:type="pct"/>
                  <w:gridSpan w:val="2"/>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设备名称</w:t>
                  </w:r>
                </w:p>
              </w:tc>
              <w:tc>
                <w:tcPr>
                  <w:tcW w:w="1496" w:type="pct"/>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数量</w:t>
                  </w:r>
                </w:p>
              </w:tc>
              <w:tc>
                <w:tcPr>
                  <w:tcW w:w="1496" w:type="pct"/>
                  <w:vAlign w:val="center"/>
                </w:tcPr>
                <w:p>
                  <w:pPr>
                    <w:widowControl/>
                    <w:jc w:val="center"/>
                    <w:textAlignment w:val="center"/>
                    <w:rPr>
                      <w:b/>
                      <w:bCs/>
                      <w:color w:val="000000" w:themeColor="text1"/>
                      <w:szCs w:val="21"/>
                      <w:lang w:bidi="ar"/>
                      <w14:textFill>
                        <w14:solidFill>
                          <w14:schemeClr w14:val="tx1"/>
                        </w14:solidFill>
                      </w14:textFill>
                    </w:rPr>
                  </w:pPr>
                  <w:r>
                    <w:rPr>
                      <w:rFonts w:hint="eastAsia"/>
                      <w:b/>
                      <w:bCs/>
                      <w:color w:val="000000" w:themeColor="text1"/>
                      <w:szCs w:val="21"/>
                      <w:lang w:bidi="ar"/>
                      <w14:textFill>
                        <w14:solidFill>
                          <w14:schemeClr w14:val="tx1"/>
                        </w14:solidFill>
                      </w14:textFill>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火化炉</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4</w:t>
                  </w:r>
                  <w:r>
                    <w:rPr>
                      <w:rFonts w:ascii="Times New Roman"/>
                      <w:color w:val="000000" w:themeColor="text1"/>
                      <w:sz w:val="21"/>
                      <w:szCs w:val="21"/>
                      <w14:textFill>
                        <w14:solidFill>
                          <w14:schemeClr w14:val="tx1"/>
                        </w14:solidFill>
                      </w14:textFill>
                    </w:rPr>
                    <w:t>台</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火化间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扫灰器</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4</w:t>
                  </w:r>
                  <w:r>
                    <w:rPr>
                      <w:rFonts w:ascii="Times New Roman"/>
                      <w:color w:val="000000" w:themeColor="text1"/>
                      <w:sz w:val="21"/>
                      <w:szCs w:val="21"/>
                      <w14:textFill>
                        <w14:solidFill>
                          <w14:schemeClr w14:val="tx1"/>
                        </w14:solidFill>
                      </w14:textFill>
                    </w:rPr>
                    <w:t>台</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火化间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冷藏柜</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18</w:t>
                  </w:r>
                  <w:r>
                    <w:rPr>
                      <w:rFonts w:ascii="Times New Roman"/>
                      <w:color w:val="000000" w:themeColor="text1"/>
                      <w:sz w:val="21"/>
                      <w:szCs w:val="21"/>
                      <w14:textFill>
                        <w14:solidFill>
                          <w14:schemeClr w14:val="tx1"/>
                        </w14:solidFill>
                      </w14:textFill>
                    </w:rPr>
                    <w:t>台</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遗体存放间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接运车</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6</w:t>
                  </w:r>
                  <w:r>
                    <w:rPr>
                      <w:rFonts w:ascii="Times New Roman"/>
                      <w:color w:val="000000" w:themeColor="text1"/>
                      <w:sz w:val="21"/>
                      <w:szCs w:val="21"/>
                      <w14:textFill>
                        <w14:solidFill>
                          <w14:schemeClr w14:val="tx1"/>
                        </w14:solidFill>
                      </w14:textFill>
                    </w:rPr>
                    <w:t>台</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停车场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监控系统</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32套</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监控室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332" w:type="pct"/>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67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10m</w:t>
                  </w:r>
                  <w:r>
                    <w:rPr>
                      <w:rFonts w:hint="eastAsia" w:ascii="Times New Roman"/>
                      <w:color w:val="000000" w:themeColor="text1"/>
                      <w:sz w:val="21"/>
                      <w:szCs w:val="21"/>
                      <w:vertAlign w:val="superscript"/>
                      <w14:textFill>
                        <w14:solidFill>
                          <w14:schemeClr w14:val="tx1"/>
                        </w14:solidFill>
                      </w14:textFill>
                    </w:rPr>
                    <w:t>3</w:t>
                  </w:r>
                  <w:r>
                    <w:rPr>
                      <w:rFonts w:hint="eastAsia" w:ascii="Times New Roman"/>
                      <w:color w:val="000000" w:themeColor="text1"/>
                      <w:sz w:val="21"/>
                      <w:szCs w:val="21"/>
                      <w14:textFill>
                        <w14:solidFill>
                          <w14:schemeClr w14:val="tx1"/>
                        </w14:solidFill>
                      </w14:textFill>
                    </w:rPr>
                    <w:t>双层立式柴油储罐</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1台</w:t>
                  </w:r>
                </w:p>
              </w:tc>
              <w:tc>
                <w:tcPr>
                  <w:tcW w:w="1496"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柴油库房</w:t>
                  </w:r>
                </w:p>
              </w:tc>
            </w:tr>
          </w:tbl>
          <w:p>
            <w:pPr>
              <w:spacing w:before="120" w:beforeLines="50"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、主要原辅材料及能耗</w:t>
            </w:r>
          </w:p>
          <w:p>
            <w:pPr>
              <w:spacing w:line="360" w:lineRule="auto"/>
              <w:ind w:firstLine="49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本项目具体原辅材料及能耗详见表</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ind w:firstLine="495"/>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 xml:space="preserve">  主要原辅材料清单</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336"/>
              <w:gridCol w:w="993"/>
              <w:gridCol w:w="991"/>
              <w:gridCol w:w="2267"/>
              <w:gridCol w:w="1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841"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625"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62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年用量</w:t>
                  </w:r>
                </w:p>
              </w:tc>
              <w:tc>
                <w:tcPr>
                  <w:tcW w:w="142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厂区最大存储量（t）</w:t>
                  </w:r>
                </w:p>
              </w:tc>
              <w:tc>
                <w:tcPr>
                  <w:tcW w:w="1080"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轻</w:t>
                  </w:r>
                  <w:r>
                    <w:rPr>
                      <w:rFonts w:ascii="Times New Roman"/>
                      <w:color w:val="000000" w:themeColor="text1"/>
                      <w:sz w:val="21"/>
                      <w:szCs w:val="21"/>
                      <w14:textFill>
                        <w14:solidFill>
                          <w14:schemeClr w14:val="tx1"/>
                        </w14:solidFill>
                      </w14:textFill>
                    </w:rPr>
                    <w:t>柴油</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吨</w:t>
                  </w:r>
                  <w:r>
                    <w:rPr>
                      <w:rFonts w:ascii="Times New Roman"/>
                      <w:color w:val="000000" w:themeColor="text1"/>
                      <w:sz w:val="21"/>
                      <w:szCs w:val="21"/>
                      <w14:textFill>
                        <w14:solidFill>
                          <w14:schemeClr w14:val="tx1"/>
                        </w14:solidFill>
                      </w14:textFill>
                    </w:rPr>
                    <w:t>/年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48</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7</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液体，</w:t>
                  </w:r>
                  <w:r>
                    <w:rPr>
                      <w:rFonts w:hint="eastAsia" w:ascii="Times New Roman"/>
                      <w:color w:val="000000" w:themeColor="text1"/>
                      <w:sz w:val="21"/>
                      <w:szCs w:val="21"/>
                      <w14:textFill>
                        <w14:solidFill>
                          <w14:schemeClr w14:val="tx1"/>
                        </w14:solidFill>
                      </w14:textFill>
                    </w:rPr>
                    <w:t>柴油储罐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次氯酸钠</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吨</w:t>
                  </w:r>
                  <w:r>
                    <w:rPr>
                      <w:rFonts w:ascii="Times New Roman"/>
                      <w:color w:val="000000" w:themeColor="text1"/>
                      <w:sz w:val="21"/>
                      <w:szCs w:val="21"/>
                      <w14:textFill>
                        <w14:solidFill>
                          <w14:schemeClr w14:val="tx1"/>
                        </w14:solidFill>
                      </w14:textFill>
                    </w:rPr>
                    <w:t>/年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2</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0.5</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废水消毒池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电</w:t>
                  </w:r>
                  <w:r>
                    <w:rPr>
                      <w:rFonts w:hint="eastAsia" w:ascii="Times New Roman"/>
                      <w:color w:val="000000" w:themeColor="text1"/>
                      <w:sz w:val="21"/>
                      <w:szCs w:val="21"/>
                      <w14:textFill>
                        <w14:solidFill>
                          <w14:schemeClr w14:val="tx1"/>
                        </w14:solidFill>
                      </w14:textFill>
                    </w:rPr>
                    <w:t>力</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度/年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150000</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新</w:t>
                  </w:r>
                  <w:r>
                    <w:rPr>
                      <w:rFonts w:ascii="Times New Roman"/>
                      <w:color w:val="000000" w:themeColor="text1"/>
                      <w:sz w:val="21"/>
                      <w:szCs w:val="21"/>
                      <w14:textFill>
                        <w14:solidFill>
                          <w14:schemeClr w14:val="tx1"/>
                        </w14:solidFill>
                      </w14:textFill>
                    </w:rPr>
                    <w:t>水</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吨/年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3490.5</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活性炭</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吨/年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6.4</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2t</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废气处理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石灰</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吨/年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0.6</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0.1</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废气处理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0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41"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片碱</w:t>
                  </w:r>
                </w:p>
              </w:tc>
              <w:tc>
                <w:tcPr>
                  <w:tcW w:w="625"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吨/年</w:t>
                  </w:r>
                </w:p>
              </w:tc>
              <w:tc>
                <w:tcPr>
                  <w:tcW w:w="624"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0.2</w:t>
                  </w:r>
                </w:p>
              </w:tc>
              <w:tc>
                <w:tcPr>
                  <w:tcW w:w="1427"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0.1</w:t>
                  </w:r>
                </w:p>
              </w:tc>
              <w:tc>
                <w:tcPr>
                  <w:tcW w:w="1080" w:type="pct"/>
                  <w:vAlign w:val="center"/>
                </w:tcPr>
                <w:p>
                  <w:pPr>
                    <w:pStyle w:val="64"/>
                    <w:adjustRightInd/>
                    <w:snapToGrid/>
                    <w:spacing w:before="24" w:after="24" w:line="240" w:lineRule="auto"/>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废气处理</w:t>
                  </w:r>
                </w:p>
              </w:tc>
            </w:tr>
          </w:tbl>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轻柴油：是轻质石油产品，复杂烃类（碳原子数约10～22）混合物，有色透明液体，具可燃性，相对密度（水=1）：0.7~0.75。常温常压下稳定，闪点：45~90℃，引燃温度75~120℃。</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、公用工程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（1）供</w:t>
            </w:r>
            <w:r>
              <w:rPr>
                <w:rFonts w:hint="eastAsia"/>
                <w:color w:val="000000" w:themeColor="text1"/>
                <w:sz w:val="24"/>
                <w14:textFill>
                  <w14:solidFill>
                    <w14:schemeClr w14:val="tx1"/>
                  </w14:solidFill>
                </w14:textFill>
              </w:rPr>
              <w:t>排</w:t>
            </w:r>
            <w:r>
              <w:rPr>
                <w:color w:val="000000" w:themeColor="text1"/>
                <w:sz w:val="24"/>
                <w14:textFill>
                  <w14:solidFill>
                    <w14:schemeClr w14:val="tx1"/>
                  </w14:solidFill>
                </w14:textFill>
              </w:rPr>
              <w:t>水系统</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本项目的生产供排水主要包括遗体清洗、火化间冲洗、解剖、生活用水等工序。</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①遗体清洗</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遗体洗清废水用水量按 0.25t/具进行计算，本项目设计全年火化遗体3200具，一般遗体只会毛巾擦洗不会清洗，只有涉及公安局刑事案件遗体需在解剖室进行清洗，按需要清洗的遗体每年100具，则遗体清洗用水新水量为25t/a，污水产生系数为0.8，则废水产生量为20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②火化车间冲洗</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火化车间冲洗用水新水量约为2.25t/d（</w:t>
            </w:r>
            <w:r>
              <w:rPr>
                <w:color w:val="000000" w:themeColor="text1"/>
                <w:sz w:val="24"/>
                <w14:textFill>
                  <w14:solidFill>
                    <w14:schemeClr w14:val="tx1"/>
                  </w14:solidFill>
                </w14:textFill>
              </w:rPr>
              <w:t>742.5</w:t>
            </w:r>
            <w:r>
              <w:rPr>
                <w:rFonts w:hint="eastAsia"/>
                <w:color w:val="000000" w:themeColor="text1"/>
                <w:sz w:val="24"/>
                <w14:textFill>
                  <w14:solidFill>
                    <w14:schemeClr w14:val="tx1"/>
                  </w14:solidFill>
                </w14:textFill>
              </w:rPr>
              <w:t>t/a），废水产生系数取0.8，则车间冲洗废水产生量约为1.8t/d（</w:t>
            </w:r>
            <w:r>
              <w:rPr>
                <w:color w:val="000000" w:themeColor="text1"/>
                <w:sz w:val="24"/>
                <w14:textFill>
                  <w14:solidFill>
                    <w14:schemeClr w14:val="tx1"/>
                  </w14:solidFill>
                </w14:textFill>
              </w:rPr>
              <w:t>594</w:t>
            </w:r>
            <w:r>
              <w:rPr>
                <w:rFonts w:hint="eastAsia"/>
                <w:color w:val="000000" w:themeColor="text1"/>
                <w:sz w:val="24"/>
                <w14:textFill>
                  <w14:solidFill>
                    <w14:schemeClr w14:val="tx1"/>
                  </w14:solidFill>
                </w14:textFill>
              </w:rPr>
              <w:t>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③解剖</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根据建设单位生产资料估算，该废水年耗新水量约为10t/a，废水产生系数为0.5，则解剖废水产生量约为5t/a。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④生活污水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项目员工33人，住宿员工6人。按年工作330天计算，项目非住宿员工生活用水以50L/天•人计，住宿员工生活用水以137L/天•人计，则项目生活用水新水量为</w:t>
            </w:r>
            <w:r>
              <w:rPr>
                <w:color w:val="000000" w:themeColor="text1"/>
                <w:sz w:val="24"/>
                <w14:textFill>
                  <w14:solidFill>
                    <w14:schemeClr w14:val="tx1"/>
                  </w14:solidFill>
                </w14:textFill>
              </w:rPr>
              <w:t>2.172</w:t>
            </w:r>
            <w:r>
              <w:rPr>
                <w:rFonts w:hint="eastAsia"/>
                <w:color w:val="000000" w:themeColor="text1"/>
                <w:sz w:val="24"/>
                <w14:textFill>
                  <w14:solidFill>
                    <w14:schemeClr w14:val="tx1"/>
                  </w14:solidFill>
                </w14:textFill>
              </w:rPr>
              <w:t>t/d（</w:t>
            </w:r>
            <w:r>
              <w:rPr>
                <w:color w:val="000000" w:themeColor="text1"/>
                <w:sz w:val="24"/>
                <w14:textFill>
                  <w14:solidFill>
                    <w14:schemeClr w14:val="tx1"/>
                  </w14:solidFill>
                </w14:textFill>
              </w:rPr>
              <w:t>716.76</w:t>
            </w:r>
            <w:r>
              <w:rPr>
                <w:rFonts w:hint="eastAsia"/>
                <w:color w:val="000000" w:themeColor="text1"/>
                <w:sz w:val="24"/>
                <w14:textFill>
                  <w14:solidFill>
                    <w14:schemeClr w14:val="tx1"/>
                  </w14:solidFill>
                </w14:textFill>
              </w:rPr>
              <w:t>t/a），排放系数取0.8，则生活污水排放量约为</w:t>
            </w:r>
            <w:r>
              <w:rPr>
                <w:color w:val="000000" w:themeColor="text1"/>
                <w:sz w:val="24"/>
                <w14:textFill>
                  <w14:solidFill>
                    <w14:schemeClr w14:val="tx1"/>
                  </w14:solidFill>
                </w14:textFill>
              </w:rPr>
              <w:t>1.7376</w:t>
            </w:r>
            <w:r>
              <w:rPr>
                <w:rFonts w:hint="eastAsia"/>
                <w:color w:val="000000" w:themeColor="text1"/>
                <w:sz w:val="24"/>
                <w14:textFill>
                  <w14:solidFill>
                    <w14:schemeClr w14:val="tx1"/>
                  </w14:solidFill>
                </w14:textFill>
              </w:rPr>
              <w:t>t/d（</w:t>
            </w:r>
            <w:r>
              <w:rPr>
                <w:color w:val="000000" w:themeColor="text1"/>
                <w:sz w:val="24"/>
                <w14:textFill>
                  <w14:solidFill>
                    <w14:schemeClr w14:val="tx1"/>
                  </w14:solidFill>
                </w14:textFill>
              </w:rPr>
              <w:t>573.408</w:t>
            </w:r>
            <w:r>
              <w:rPr>
                <w:rFonts w:hint="eastAsia"/>
                <w:color w:val="000000" w:themeColor="text1"/>
                <w:sz w:val="24"/>
                <w14:textFill>
                  <w14:solidFill>
                    <w14:schemeClr w14:val="tx1"/>
                  </w14:solidFill>
                </w14:textFill>
              </w:rPr>
              <w:t>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⑤脱硫喷淋用水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废气处理系统需用水进行脱硫喷淋，该过程补充废气处理过程中的耗损水即可，项目共2套废气处理系统，每套处理系统每日需添加新鲜水约0.2t，则脱硫喷淋用水量为180t/a，不产生废水。急冷装置为风冷模式，无需新鲜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⑥绿化用水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根据建设单位提供相关资料，项目绿化面积约4200m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，根据《江西省城市生活用水定额》（DB/T 419-2011），绿化浇灌用水按1.3L/m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•d计，雨天不用浇灌，根据历史气象资料统计，项目所在地年均雨天150天，因此项目绿化浇灌天数约215次/年，项目绿化用水5.46m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1173.9</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/a），绿化用水全部来自于市政给水管网，无废水外排。</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⑤水平衡</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水平衡见图2-1。</w:t>
            </w:r>
          </w:p>
          <w:p>
            <w:pPr>
              <w:pStyle w:val="20"/>
              <w:spacing w:after="0" w:line="360" w:lineRule="auto"/>
              <w:ind w:left="0" w:leftChars="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4914265" cy="43903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914286" cy="4390476"/>
                          </a:xfrm>
                          <a:prstGeom prst="rect">
                            <a:avLst/>
                          </a:prstGeom>
                        </pic:spPr>
                      </pic:pic>
                    </a:graphicData>
                  </a:graphic>
                </wp:inline>
              </w:drawing>
            </w:r>
          </w:p>
          <w:p>
            <w:pPr>
              <w:pStyle w:val="20"/>
              <w:spacing w:after="0" w:line="360" w:lineRule="auto"/>
              <w:ind w:left="0" w:leftChars="0" w:firstLine="482" w:firstLineChars="20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图2-1 水平衡（m</w:t>
            </w:r>
            <w:r>
              <w:rPr>
                <w:rFonts w:hint="eastAsia"/>
                <w:b/>
                <w:bCs/>
                <w:color w:val="000000" w:themeColor="text1"/>
                <w:sz w:val="24"/>
                <w:vertAlign w:val="superscript"/>
                <w14:textFill>
                  <w14:solidFill>
                    <w14:schemeClr w14:val="tx1"/>
                  </w14:solidFill>
                </w14:textFill>
              </w:rPr>
              <w:t>3</w:t>
            </w:r>
            <w:r>
              <w:rPr>
                <w:rFonts w:hint="eastAsia"/>
                <w:b/>
                <w:bCs/>
                <w:color w:val="000000" w:themeColor="text1"/>
                <w:sz w:val="24"/>
                <w14:textFill>
                  <w14:solidFill>
                    <w14:schemeClr w14:val="tx1"/>
                  </w14:solidFill>
                </w14:textFill>
              </w:rPr>
              <w:t>/a）</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选址可行性分析</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①环境容量相符性</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评价区域地表水、大气、声环境环境环境质量较好，均能达到功能区要求。因此，从环境现状来看，项目所在地具有一定的环境容量，厂址与区域的环境质量现状基本相容。 根据工程分析确定的污染物源强，通过大气环境、地表水环境、声环境、地下水、土壤环境影响分析，表明项目营运期污染物达标排放对区域地表水环境、大气环境、声环境、地下水、土壤环境影响较小，不会改变区域现有环境功能。</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②卫生防护距离可达性分析</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距项目最近的主要敏感点为项目厂界西南侧251m的下岭孜居民点。项目火化过程中产生的废气100%有组织收集并高空排放，不设卫生防护距离。</w:t>
            </w:r>
          </w:p>
          <w:p>
            <w:pPr>
              <w:spacing w:line="360" w:lineRule="auto"/>
              <w:ind w:firstLine="480" w:firstLineChars="200"/>
              <w:rPr>
                <w:b/>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综上，本项目选址可行。</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7、厂区总</w:t>
            </w:r>
            <w:r>
              <w:rPr>
                <w:b/>
                <w:color w:val="000000" w:themeColor="text1"/>
                <w:sz w:val="24"/>
                <w14:textFill>
                  <w14:solidFill>
                    <w14:schemeClr w14:val="tx1"/>
                  </w14:solidFill>
                </w14:textFill>
              </w:rPr>
              <w:t>平面布置</w:t>
            </w:r>
          </w:p>
          <w:p>
            <w:pPr>
              <w:pStyle w:val="117"/>
              <w:jc w:val="both"/>
              <w:rPr>
                <w:bCs/>
                <w:color w:val="000000" w:themeColor="text1"/>
                <w14:textFill>
                  <w14:solidFill>
                    <w14:schemeClr w14:val="tx1"/>
                  </w14:solidFill>
                </w14:textFill>
              </w:rPr>
            </w:pPr>
            <w:r>
              <w:rPr>
                <w:rFonts w:ascii="Times New Roman"/>
                <w:color w:val="000000" w:themeColor="text1"/>
                <w:szCs w:val="22"/>
                <w14:textFill>
                  <w14:solidFill>
                    <w14:schemeClr w14:val="tx1"/>
                  </w14:solidFill>
                </w14:textFill>
              </w:rPr>
              <w:t>根据场地情况，把业务办理接待厅、悼念厅、遗体化妆、守灵房、遗体火化车间等主要功能区通过连廊结合为一个整体布置在地块的一侧区域，业务办理接待厅、悼念厅、遗体化妆等功能集中在一幢建筑内布置在主要功能区块的入口处，火化车间布置在场地的</w:t>
            </w:r>
            <w:r>
              <w:rPr>
                <w:rFonts w:hint="eastAsia" w:ascii="Times New Roman"/>
                <w:color w:val="000000" w:themeColor="text1"/>
                <w:szCs w:val="22"/>
                <w14:textFill>
                  <w14:solidFill>
                    <w14:schemeClr w14:val="tx1"/>
                  </w14:solidFill>
                </w14:textFill>
              </w:rPr>
              <w:t>北</w:t>
            </w:r>
            <w:r>
              <w:rPr>
                <w:rFonts w:ascii="Times New Roman"/>
                <w:color w:val="000000" w:themeColor="text1"/>
                <w:szCs w:val="22"/>
                <w14:textFill>
                  <w14:solidFill>
                    <w14:schemeClr w14:val="tx1"/>
                  </w14:solidFill>
                </w14:textFill>
              </w:rPr>
              <w:t>侧，悼念大厅</w:t>
            </w:r>
            <w:r>
              <w:rPr>
                <w:rFonts w:hint="eastAsia" w:ascii="Times New Roman"/>
                <w:color w:val="000000" w:themeColor="text1"/>
                <w:szCs w:val="22"/>
                <w14:textFill>
                  <w14:solidFill>
                    <w14:schemeClr w14:val="tx1"/>
                  </w14:solidFill>
                </w14:textFill>
              </w:rPr>
              <w:t>位于</w:t>
            </w:r>
            <w:r>
              <w:rPr>
                <w:rFonts w:ascii="Times New Roman"/>
                <w:color w:val="000000" w:themeColor="text1"/>
                <w:szCs w:val="22"/>
                <w14:textFill>
                  <w14:solidFill>
                    <w14:schemeClr w14:val="tx1"/>
                  </w14:solidFill>
                </w14:textFill>
              </w:rPr>
              <w:t>南侧，冷库位于东侧。把车库、食堂、办公楼及员工宿舍楼等后勤保障功能区布置在地块</w:t>
            </w:r>
            <w:r>
              <w:rPr>
                <w:rFonts w:hint="eastAsia" w:ascii="Times New Roman"/>
                <w:color w:val="000000" w:themeColor="text1"/>
                <w:szCs w:val="22"/>
                <w14:textFill>
                  <w14:solidFill>
                    <w14:schemeClr w14:val="tx1"/>
                  </w14:solidFill>
                </w14:textFill>
              </w:rPr>
              <w:t>西</w:t>
            </w:r>
            <w:r>
              <w:rPr>
                <w:rFonts w:ascii="Times New Roman"/>
                <w:color w:val="000000" w:themeColor="text1"/>
                <w:szCs w:val="22"/>
                <w14:textFill>
                  <w14:solidFill>
                    <w14:schemeClr w14:val="tx1"/>
                  </w14:solidFill>
                </w14:textFill>
              </w:rPr>
              <w:t>侧，</w:t>
            </w:r>
            <w:r>
              <w:rPr>
                <w:rFonts w:hint="eastAsia" w:ascii="Times New Roman"/>
                <w:color w:val="000000" w:themeColor="text1"/>
                <w:szCs w:val="22"/>
                <w14:textFill>
                  <w14:solidFill>
                    <w14:schemeClr w14:val="tx1"/>
                  </w14:solidFill>
                </w14:textFill>
              </w:rPr>
              <w:t>将</w:t>
            </w:r>
            <w:r>
              <w:rPr>
                <w:rFonts w:ascii="Times New Roman"/>
                <w:color w:val="000000" w:themeColor="text1"/>
                <w:szCs w:val="22"/>
                <w14:textFill>
                  <w14:solidFill>
                    <w14:schemeClr w14:val="tx1"/>
                  </w14:solidFill>
                </w14:textFill>
              </w:rPr>
              <w:t>殡仪馆的主要功能区与辅助功能区</w:t>
            </w:r>
            <w:r>
              <w:rPr>
                <w:rFonts w:hint="eastAsia" w:ascii="Times New Roman"/>
                <w:color w:val="000000" w:themeColor="text1"/>
                <w:szCs w:val="22"/>
                <w14:textFill>
                  <w14:solidFill>
                    <w14:schemeClr w14:val="tx1"/>
                  </w14:solidFill>
                </w14:textFill>
              </w:rPr>
              <w:t>分隔，</w:t>
            </w:r>
            <w:r>
              <w:rPr>
                <w:rFonts w:ascii="Times New Roman"/>
                <w:color w:val="000000" w:themeColor="text1"/>
                <w:szCs w:val="22"/>
                <w14:textFill>
                  <w14:solidFill>
                    <w14:schemeClr w14:val="tx1"/>
                  </w14:solidFill>
                </w14:textFill>
              </w:rPr>
              <w:t>平面布置基本合理。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3"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工艺流程和产排污环节</w:t>
            </w:r>
          </w:p>
        </w:tc>
        <w:tc>
          <w:tcPr>
            <w:tcW w:w="8161" w:type="dxa"/>
          </w:tcPr>
          <w:p>
            <w:pPr>
              <w:autoSpaceDE w:val="0"/>
              <w:autoSpaceDN w:val="0"/>
              <w:adjustRightIn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1、施工期工艺流程</w:t>
            </w:r>
          </w:p>
          <w:p>
            <w:pPr>
              <w:adjustRightInd w:val="0"/>
              <w:spacing w:line="360" w:lineRule="auto"/>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本项目已投产运营，土建施工期已结束，本次评价不进行施工期评价。</w:t>
            </w:r>
          </w:p>
          <w:p>
            <w:pPr>
              <w:adjustRightInd w:val="0"/>
              <w:spacing w:line="360" w:lineRule="auto"/>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2、营运期工艺流程</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营运期工艺流程见图2-1。</w:t>
            </w:r>
          </w:p>
          <w:p>
            <w:pPr>
              <w:adjustRightInd w:val="0"/>
              <w:spacing w:line="360" w:lineRule="auto"/>
              <w:jc w:val="center"/>
              <w:rPr>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389630" cy="359283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391231" cy="3594392"/>
                          </a:xfrm>
                          <a:prstGeom prst="rect">
                            <a:avLst/>
                          </a:prstGeom>
                        </pic:spPr>
                      </pic:pic>
                    </a:graphicData>
                  </a:graphic>
                </wp:inline>
              </w:drawing>
            </w:r>
          </w:p>
          <w:p>
            <w:pPr>
              <w:adjustRightInd w:val="0"/>
              <w:spacing w:line="36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图2-2 营运期工艺流程</w:t>
            </w:r>
          </w:p>
          <w:p>
            <w:pPr>
              <w:adjustRightInd w:val="0"/>
              <w:spacing w:line="360" w:lineRule="auto"/>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工艺流程简述：</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（1）业务登记</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业务登记，确定服务项目—办理交费手续—下派殡仪车—接运遗体—遗体处理后冷藏—确定吊念日期。</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（2）遗体解剖整容、殡葬服务</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部分遗体由于非正常死亡，需进行解剖；或由于遗容面貌欠佳、家属要求等，需进行遗体整容，该过程产生解剖废水和遗体组织，其中解剖废水产生后杀菌进入污水处理设施进行处理，遗体组织随遗体一起火化。该过程产生的废气经急冷装置+布袋除尘+脱硫+活性炭喷射吸附+15m排气筒排放。</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（3）吊念</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布置吊念厅—从冷藏柜中取出遗体—致悼词—默哀—遗体告别—遗体运进火化车间—家属认领骨灰。</w:t>
            </w:r>
          </w:p>
          <w:p>
            <w:pPr>
              <w:pStyle w:val="2"/>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本项目不设遗物焚烧炉，禁止家属携带花圈、纸祭品、遗物等物品至本项目内焚烧，故本项目不产生遗物焚烧灰渣。</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（4）火化</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遗体运进火化间—死者亲属在观察室举行最后告别—遗体进火化炉—火化完成—死者亲属进预备室收捡骨灰—骨灰盒保存骨灰—骨灰送寄存室或公墓山。</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（5）拜祭</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布置拜祭场地—取出骨灰盒或设置灵位二拜祭或法事道场—撤走灵位或送回骨灰盒。</w:t>
            </w:r>
          </w:p>
          <w:p>
            <w:pPr>
              <w:adjustRightIn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①燃油火化炉工作原理简介：</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购置的火化炉属目前国内先进的火化设备，采用的是二级燃烧技术，以轻柴油作为燃料，充分氧化分解产生的污染物，从而达到去除烟尘、恶臭气体的目的。项目火化机控制系统采用PLC程序控制，使用双向悬臂式进尸车。火化机的火化是通过高温和充足的供氧强制遗体燃烧，生成烟气和不可燃烧的无机物残渣-骨灰的过程，因此，火化机具有使遗体充分完全燃烧、有效防治污染物排放、收取骨灰的功能。</w:t>
            </w:r>
          </w:p>
          <w:p>
            <w:pPr>
              <w:adjustRightIn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主燃烧室（一级燃烧室）燃烧的对象是遗体，燃烧温度在800~1000℃左右，燃料为0#柴油，每次开机只处理一具遗体，每具遗体处理时间为1h左右，配备全自动燃烧器，能自动点火、自动供油、自动供风、自动检测。二级燃烧室燃烧的对象是烟气，燃烧过程中的各个参数如炉膛的温度、压力、氧含量等通过传感器到控制台的计算机，计算机将自动调节各个参数，使烟气中的有毒有害物质在最佳的燃烧状态下被充分氧化分解。同时在烟道内设置烟尘沉降室、花格墙，并增加烟气的停留时间。二次燃烧室由于烟气中的烟尘及有害物质已被充分氧化分解，通过引风机将烟气引至急冷装置+布袋除尘+脱硫+活性炭喷射吸附处理后经15m高（</w:t>
            </w:r>
            <w:r>
              <w:rPr>
                <w:bCs/>
                <w:color w:val="000000" w:themeColor="text1"/>
                <w:sz w:val="24"/>
                <w14:textFill>
                  <w14:solidFill>
                    <w14:schemeClr w14:val="tx1"/>
                  </w14:solidFill>
                </w14:textFill>
              </w:rPr>
              <w:t>φ</w:t>
            </w:r>
            <w:r>
              <w:rPr>
                <w:rFonts w:hint="eastAsia"/>
                <w:bCs/>
                <w:color w:val="000000" w:themeColor="text1"/>
                <w:sz w:val="24"/>
                <w14:textFill>
                  <w14:solidFill>
                    <w14:schemeClr w14:val="tx1"/>
                  </w14:solidFill>
                </w14:textFill>
              </w:rPr>
              <w:t>0.3m）排气筒排放。由于使用了引风机，使燃烧室处于微负压的状态，从而保证火化车间异味极小。</w:t>
            </w:r>
          </w:p>
          <w:p>
            <w:pPr>
              <w:pStyle w:val="100"/>
              <w:spacing w:line="360" w:lineRule="auto"/>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②二次燃烧室工作原理：</w:t>
            </w:r>
          </w:p>
          <w:p>
            <w:pPr>
              <w:pStyle w:val="100"/>
              <w:spacing w:line="360" w:lineRule="auto"/>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遗体进入火化炉最初几分钟，遗物和遗体外表的易燃部分燃烧速度非常快，由于供氧量很难达到这种爆燃的需要，产生大量燃烧不完全的烟气，烟气排入二次燃烧室，经过二次燃烧室中的加热及二次风的助燃，继续燃烧。二次燃烧室燃烧温度在350℃-1000℃之间，设有自动防爆系统，火化烟气在二次燃烧室中停留时间不小于2S，足够的停留时间使可燃物完全燃烧；燃烧后的烟气，经几分钟的爆燃后，燃烧趋于平衡，助燃风压渐减少。遗体烧烬冷却后，由扫灰器将骨灰扫入骨灰盒．一具遗体的火化即完成。</w:t>
            </w:r>
          </w:p>
          <w:p>
            <w:pPr>
              <w:pStyle w:val="100"/>
              <w:spacing w:line="360" w:lineRule="auto"/>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急冷装置处理原理：</w:t>
            </w:r>
          </w:p>
          <w:p>
            <w:pPr>
              <w:pStyle w:val="100"/>
              <w:spacing w:line="360" w:lineRule="auto"/>
              <w:ind w:firstLine="480"/>
              <w:rPr>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效雾化风冷烟气急冷设施由不锈钢制作，雾化冷却系统组合冷却风机在触摸屏上采用变频调速，进风口设置进冷风调节板用于冷却温度，可控出口烟气≤200℃，输入功率：≥1.5Kw；电压：≤380V；频率：≤50Hz；噪声：≤68Db； 出风口尺寸670*670mm；</w:t>
            </w:r>
            <w:r>
              <w:rPr>
                <w:rFonts w:hint="eastAsia" w:ascii="Times New Roman" w:hAnsi="Times New Roman" w:cs="Times New Roman"/>
                <w:color w:val="000000" w:themeColor="text1"/>
                <w14:textFill>
                  <w14:solidFill>
                    <w14:schemeClr w14:val="tx1"/>
                  </w14:solidFill>
                </w14:textFill>
              </w:rPr>
              <w:t>采用雾化风冷小于1秒的急速冷却技术，能有效扼制二噁英类物质在高温下二次合成。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与项目有关的原有环境污染问题</w:t>
            </w:r>
          </w:p>
        </w:tc>
        <w:tc>
          <w:tcPr>
            <w:tcW w:w="8161" w:type="dxa"/>
            <w:vAlign w:val="center"/>
          </w:tcPr>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本项目于上世纪70年代建设开工并正式投入使用，由于历史遗留问题，环评手续一直缺失，属事实意义的“未批先建 ”类项目，本次评价为完善环评相关手续。</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根据现场踏勘情况，项目运行稳定，废气处理设施需按治理要求进行整改，部分污染源未设置标识标牌。整改措施如下表2-4。</w:t>
            </w:r>
          </w:p>
          <w:p>
            <w:pPr>
              <w:adjustRightInd w:val="0"/>
              <w:snapToGrid w:val="0"/>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表2-4  项目整改措施一览表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1"/>
              <w:gridCol w:w="3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81" w:type="pct"/>
                  <w:vAlign w:val="center"/>
                </w:tcPr>
                <w:p>
                  <w:pPr>
                    <w:autoSpaceDE w:val="0"/>
                    <w:autoSpaceDN w:val="0"/>
                    <w:adjustRightInd w:val="0"/>
                    <w:jc w:val="center"/>
                    <w:rPr>
                      <w:rFonts w:ascii="宋体" w:cs="宋体"/>
                      <w:b/>
                      <w:color w:val="000000" w:themeColor="text1"/>
                      <w:kern w:val="0"/>
                      <w:szCs w:val="21"/>
                      <w14:textFill>
                        <w14:solidFill>
                          <w14:schemeClr w14:val="tx1"/>
                        </w14:solidFill>
                      </w14:textFill>
                    </w:rPr>
                  </w:pPr>
                  <w:r>
                    <w:rPr>
                      <w:rFonts w:hint="eastAsia" w:ascii="宋体" w:cs="宋体"/>
                      <w:b/>
                      <w:color w:val="000000" w:themeColor="text1"/>
                      <w:kern w:val="0"/>
                      <w:szCs w:val="21"/>
                      <w14:textFill>
                        <w14:solidFill>
                          <w14:schemeClr w14:val="tx1"/>
                        </w14:solidFill>
                      </w14:textFill>
                    </w:rPr>
                    <w:t>存在问题</w:t>
                  </w:r>
                </w:p>
              </w:tc>
              <w:tc>
                <w:tcPr>
                  <w:tcW w:w="2419" w:type="pct"/>
                  <w:vAlign w:val="center"/>
                </w:tcPr>
                <w:p>
                  <w:pPr>
                    <w:autoSpaceDE w:val="0"/>
                    <w:autoSpaceDN w:val="0"/>
                    <w:adjustRightInd w:val="0"/>
                    <w:jc w:val="center"/>
                    <w:rPr>
                      <w:rFonts w:ascii="宋体" w:cs="宋体"/>
                      <w:b/>
                      <w:color w:val="000000" w:themeColor="text1"/>
                      <w:kern w:val="0"/>
                      <w:szCs w:val="21"/>
                      <w14:textFill>
                        <w14:solidFill>
                          <w14:schemeClr w14:val="tx1"/>
                        </w14:solidFill>
                      </w14:textFill>
                    </w:rPr>
                  </w:pPr>
                  <w:r>
                    <w:rPr>
                      <w:rFonts w:hint="eastAsia" w:ascii="宋体" w:cs="宋体"/>
                      <w:b/>
                      <w:color w:val="000000" w:themeColor="text1"/>
                      <w:kern w:val="0"/>
                      <w:szCs w:val="21"/>
                      <w14:textFill>
                        <w14:solidFill>
                          <w14:schemeClr w14:val="tx1"/>
                        </w14:solidFill>
                      </w14:textFill>
                    </w:rPr>
                    <w:t>整改措施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1" w:type="pct"/>
                  <w:vAlign w:val="center"/>
                </w:tcPr>
                <w:p>
                  <w:pPr>
                    <w:autoSpaceDE w:val="0"/>
                    <w:autoSpaceDN w:val="0"/>
                    <w:adjustRightInd w:val="0"/>
                    <w:jc w:val="center"/>
                    <w:rPr>
                      <w:color w:val="000000" w:themeColor="text1"/>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未履行环评手续</w:t>
                  </w:r>
                </w:p>
              </w:tc>
              <w:tc>
                <w:tcPr>
                  <w:tcW w:w="2419" w:type="pct"/>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完善环评手续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81" w:type="pct"/>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未规范化设置标识标牌</w:t>
                  </w:r>
                </w:p>
              </w:tc>
              <w:tc>
                <w:tcPr>
                  <w:tcW w:w="2419" w:type="pct"/>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完善厂区标识标牌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1" w:type="pct"/>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固废处理设施不完善</w:t>
                  </w:r>
                </w:p>
              </w:tc>
              <w:tc>
                <w:tcPr>
                  <w:tcW w:w="2419" w:type="pct"/>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设置危废暂存间及一般固废暂存间，根据相关规范做好分区防渗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1" w:type="pct"/>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废水纳污证明材料不完善</w:t>
                  </w:r>
                </w:p>
              </w:tc>
              <w:tc>
                <w:tcPr>
                  <w:tcW w:w="2419" w:type="pct"/>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完善与唐江镇污水处理站的纳污协议</w:t>
                  </w:r>
                </w:p>
              </w:tc>
            </w:tr>
          </w:tbl>
          <w:p>
            <w:pPr>
              <w:adjustRightInd w:val="0"/>
              <w:snapToGrid w:val="0"/>
              <w:spacing w:line="360" w:lineRule="auto"/>
              <w:ind w:firstLine="480" w:firstLineChars="200"/>
              <w:jc w:val="left"/>
              <w:rPr>
                <w:bCs/>
                <w:color w:val="000000" w:themeColor="text1"/>
                <w:sz w:val="24"/>
                <w14:textFill>
                  <w14:solidFill>
                    <w14:schemeClr w14:val="tx1"/>
                  </w14:solidFill>
                </w14:textFill>
              </w:rPr>
            </w:pPr>
          </w:p>
          <w:p>
            <w:pPr>
              <w:adjustRightInd w:val="0"/>
              <w:snapToGrid w:val="0"/>
              <w:spacing w:line="360" w:lineRule="auto"/>
              <w:ind w:firstLine="480" w:firstLineChars="200"/>
              <w:jc w:val="left"/>
              <w:rPr>
                <w:bCs/>
                <w:color w:val="000000" w:themeColor="text1"/>
                <w:sz w:val="24"/>
                <w14:textFill>
                  <w14:solidFill>
                    <w14:schemeClr w14:val="tx1"/>
                  </w14:solidFill>
                </w14:textFill>
              </w:rPr>
            </w:pPr>
          </w:p>
          <w:p>
            <w:pPr>
              <w:adjustRightInd w:val="0"/>
              <w:snapToGrid w:val="0"/>
              <w:spacing w:line="360" w:lineRule="auto"/>
              <w:ind w:firstLine="480" w:firstLineChars="200"/>
              <w:jc w:val="left"/>
              <w:rPr>
                <w:bCs/>
                <w:color w:val="000000" w:themeColor="text1"/>
                <w:sz w:val="24"/>
                <w14:textFill>
                  <w14:solidFill>
                    <w14:schemeClr w14:val="tx1"/>
                  </w14:solidFill>
                </w14:textFill>
              </w:rPr>
            </w:pPr>
          </w:p>
          <w:p>
            <w:pPr>
              <w:adjustRightInd w:val="0"/>
              <w:snapToGrid w:val="0"/>
              <w:spacing w:line="360" w:lineRule="auto"/>
              <w:ind w:firstLine="480" w:firstLineChars="200"/>
              <w:jc w:val="left"/>
              <w:rPr>
                <w:bCs/>
                <w:color w:val="000000" w:themeColor="text1"/>
                <w:sz w:val="24"/>
                <w14:textFill>
                  <w14:solidFill>
                    <w14:schemeClr w14:val="tx1"/>
                  </w14:solidFill>
                </w14:textFill>
              </w:rPr>
            </w:pPr>
          </w:p>
          <w:p>
            <w:pPr>
              <w:adjustRightInd w:val="0"/>
              <w:snapToGrid w:val="0"/>
              <w:spacing w:line="360" w:lineRule="auto"/>
              <w:ind w:firstLine="480" w:firstLineChars="200"/>
              <w:jc w:val="left"/>
              <w:rPr>
                <w:bCs/>
                <w:color w:val="000000" w:themeColor="text1"/>
                <w:sz w:val="24"/>
                <w14:textFill>
                  <w14:solidFill>
                    <w14:schemeClr w14:val="tx1"/>
                  </w14:solidFill>
                </w14:textFill>
              </w:rPr>
            </w:pPr>
          </w:p>
        </w:tc>
      </w:tr>
    </w:tbl>
    <w:p>
      <w:pPr>
        <w:pStyle w:val="24"/>
        <w:jc w:val="center"/>
        <w:rPr>
          <w:rFonts w:ascii="Times New Roman" w:hAnsi="Times New Roman" w:eastAsia="黑体"/>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eastAsia="黑体"/>
          <w:color w:val="000000" w:themeColor="text1"/>
          <w:sz w:val="30"/>
          <w:szCs w:val="30"/>
          <w14:textFill>
            <w14:solidFill>
              <w14:schemeClr w14:val="tx1"/>
            </w14:solidFill>
          </w14:textFill>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190" w:type="dxa"/>
            <w:vAlign w:val="center"/>
          </w:tcPr>
          <w:p>
            <w:pPr>
              <w:spacing w:before="2" w:line="364" w:lineRule="auto"/>
              <w:ind w:right="515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1、环境空气</w:t>
            </w:r>
          </w:p>
          <w:p>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环境空气执行《环境空气质量标准》（GB3095-2012）中的二级标准。《环境空气质量标准》（GB3095-2012）中未列的污染物执行《环境影响评价技术导则大气环境（HJ2.2-2018）》附录D表D.1其他污染物空气质量浓度参考限值。</w:t>
            </w:r>
          </w:p>
          <w:p>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（1）常规因子</w:t>
            </w:r>
          </w:p>
          <w:p>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根据大气功能区划分，本项目所在地为二类功能区，环境空气质量执行《环境空气质量标准》（GB3095-2012）二级标准。环境空气常规因子现状监测数据引用江西省生态环境厅发布的《</w:t>
            </w:r>
            <w:r>
              <w:rPr>
                <w:rFonts w:hint="eastAsia"/>
                <w:snapToGrid w:val="0"/>
                <w:color w:val="000000" w:themeColor="text1"/>
                <w:kern w:val="0"/>
                <w:sz w:val="24"/>
                <w14:textFill>
                  <w14:solidFill>
                    <w14:schemeClr w14:val="tx1"/>
                  </w14:solidFill>
                </w14:textFill>
              </w:rPr>
              <w:t>2020</w:t>
            </w:r>
            <w:r>
              <w:rPr>
                <w:snapToGrid w:val="0"/>
                <w:color w:val="000000" w:themeColor="text1"/>
                <w:kern w:val="0"/>
                <w:sz w:val="24"/>
                <w14:textFill>
                  <w14:solidFill>
                    <w14:schemeClr w14:val="tx1"/>
                  </w14:solidFill>
                </w14:textFill>
              </w:rPr>
              <w:t>年江西省各县（市、区）六项污染物浓度年平均值》中</w:t>
            </w:r>
            <w:r>
              <w:rPr>
                <w:rFonts w:hint="eastAsia"/>
                <w:snapToGrid w:val="0"/>
                <w:color w:val="000000" w:themeColor="text1"/>
                <w:kern w:val="0"/>
                <w:sz w:val="24"/>
                <w14:textFill>
                  <w14:solidFill>
                    <w14:schemeClr w14:val="tx1"/>
                  </w14:solidFill>
                </w14:textFill>
              </w:rPr>
              <w:t>南康区</w:t>
            </w:r>
            <w:r>
              <w:rPr>
                <w:snapToGrid w:val="0"/>
                <w:color w:val="000000" w:themeColor="text1"/>
                <w:kern w:val="0"/>
                <w:sz w:val="24"/>
                <w14:textFill>
                  <w14:solidFill>
                    <w14:schemeClr w14:val="tx1"/>
                  </w14:solidFill>
                </w14:textFill>
              </w:rPr>
              <w:t>数据得年平均空气质量监测数据，监测结果见表3-1。</w:t>
            </w:r>
          </w:p>
          <w:p>
            <w:pPr>
              <w:pStyle w:val="123"/>
              <w:spacing w:line="240" w:lineRule="atLeast"/>
              <w:jc w:val="center"/>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 xml:space="preserve">表3-1  </w:t>
            </w:r>
            <w:r>
              <w:rPr>
                <w:rFonts w:hint="eastAsia" w:ascii="Times New Roman" w:hAnsi="Times New Roman" w:eastAsia="宋体"/>
                <w:b/>
                <w:color w:val="000000" w:themeColor="text1"/>
                <w14:textFill>
                  <w14:solidFill>
                    <w14:schemeClr w14:val="tx1"/>
                  </w14:solidFill>
                </w14:textFill>
              </w:rPr>
              <w:t>2020</w:t>
            </w:r>
            <w:r>
              <w:rPr>
                <w:rFonts w:ascii="Times New Roman" w:hAnsi="Times New Roman" w:eastAsia="宋体"/>
                <w:b/>
                <w:color w:val="000000" w:themeColor="text1"/>
                <w14:textFill>
                  <w14:solidFill>
                    <w14:schemeClr w14:val="tx1"/>
                  </w14:solidFill>
                </w14:textFill>
              </w:rPr>
              <w:t>年</w:t>
            </w:r>
            <w:r>
              <w:rPr>
                <w:rFonts w:hint="eastAsia" w:ascii="Times New Roman" w:hAnsi="Times New Roman" w:eastAsia="宋体"/>
                <w:b/>
                <w:color w:val="000000" w:themeColor="text1"/>
                <w14:textFill>
                  <w14:solidFill>
                    <w14:schemeClr w14:val="tx1"/>
                  </w14:solidFill>
                </w14:textFill>
              </w:rPr>
              <w:t>南康区</w:t>
            </w:r>
            <w:r>
              <w:rPr>
                <w:rFonts w:ascii="Times New Roman" w:hAnsi="Times New Roman" w:eastAsia="宋体"/>
                <w:b/>
                <w:color w:val="000000" w:themeColor="text1"/>
                <w14:textFill>
                  <w14:solidFill>
                    <w14:schemeClr w14:val="tx1"/>
                  </w14:solidFill>
                </w14:textFill>
              </w:rPr>
              <w:t>空气主要污染物评价</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51"/>
              <w:gridCol w:w="3399"/>
              <w:gridCol w:w="1625"/>
              <w:gridCol w:w="1163"/>
              <w:gridCol w:w="83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2131"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年评价指标</w:t>
                  </w:r>
                </w:p>
              </w:tc>
              <w:tc>
                <w:tcPr>
                  <w:tcW w:w="101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评价标准</w:t>
                  </w:r>
                </w:p>
              </w:tc>
              <w:tc>
                <w:tcPr>
                  <w:tcW w:w="72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现状浓度</w:t>
                  </w:r>
                </w:p>
              </w:tc>
              <w:tc>
                <w:tcPr>
                  <w:tcW w:w="52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95%百分位数24小时平均</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1.0mg/m³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90%百分位数</w:t>
                  </w:r>
                  <w:r>
                    <w:rPr>
                      <w:rFonts w:hint="eastAsia"/>
                      <w:color w:val="000000" w:themeColor="text1"/>
                      <w:szCs w:val="21"/>
                      <w14:textFill>
                        <w14:solidFill>
                          <w14:schemeClr w14:val="tx1"/>
                        </w14:solidFill>
                      </w14:textFill>
                    </w:rPr>
                    <w:t>日</w:t>
                  </w:r>
                  <w:r>
                    <w:rPr>
                      <w:color w:val="000000" w:themeColor="text1"/>
                      <w:szCs w:val="21"/>
                      <w14:textFill>
                        <w14:solidFill>
                          <w14:schemeClr w14:val="tx1"/>
                        </w14:solidFill>
                      </w14:textFill>
                    </w:rPr>
                    <w:t>最大8小时滑动平均</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45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HCl</w:t>
                  </w:r>
                </w:p>
              </w:tc>
              <w:tc>
                <w:tcPr>
                  <w:tcW w:w="213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《环境影响评价技术导则  大气环境》（HJ2.2-2018）附录D中的浓度限值</w:t>
                  </w:r>
                </w:p>
              </w:tc>
              <w:tc>
                <w:tcPr>
                  <w:tcW w:w="101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0.05（一次）m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见现状监测</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w:t>
                  </w:r>
                </w:p>
              </w:tc>
              <w:tc>
                <w:tcPr>
                  <w:tcW w:w="2131" w:type="pc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参照执行日本大气环境质量标准</w:t>
                  </w:r>
                </w:p>
              </w:tc>
              <w:tc>
                <w:tcPr>
                  <w:tcW w:w="101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0.6pgTEQ/m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（一次）</w:t>
                  </w:r>
                </w:p>
              </w:tc>
              <w:tc>
                <w:tcPr>
                  <w:tcW w:w="729" w:type="pct"/>
                  <w:vMerge w:val="continue"/>
                  <w:vAlign w:val="center"/>
                </w:tcPr>
                <w:p>
                  <w:pPr>
                    <w:jc w:val="center"/>
                    <w:rPr>
                      <w:color w:val="000000" w:themeColor="text1"/>
                      <w:szCs w:val="21"/>
                      <w14:textFill>
                        <w14:solidFill>
                          <w14:schemeClr w14:val="tx1"/>
                        </w14:solidFill>
                      </w14:textFill>
                    </w:rPr>
                  </w:pP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2131" w:type="pc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参照前苏联环境空气质量标准</w:t>
                  </w:r>
                </w:p>
              </w:tc>
              <w:tc>
                <w:tcPr>
                  <w:tcW w:w="101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0.0003（一次）</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Merge w:val="continue"/>
                  <w:vAlign w:val="center"/>
                </w:tcPr>
                <w:p>
                  <w:pPr>
                    <w:jc w:val="center"/>
                    <w:rPr>
                      <w:color w:val="000000" w:themeColor="text1"/>
                      <w:szCs w:val="21"/>
                      <w14:textFill>
                        <w14:solidFill>
                          <w14:schemeClr w14:val="tx1"/>
                        </w14:solidFill>
                      </w14:textFill>
                    </w:rPr>
                  </w:pP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由表3-1可知</w:t>
            </w:r>
            <w:r>
              <w:rPr>
                <w:rFonts w:hint="eastAsia"/>
                <w:color w:val="000000" w:themeColor="text1"/>
                <w:sz w:val="24"/>
                <w14:textFill>
                  <w14:solidFill>
                    <w14:schemeClr w14:val="tx1"/>
                  </w14:solidFill>
                </w14:textFill>
              </w:rPr>
              <w:t>南康区</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w:t>
            </w:r>
            <w:r>
              <w:rPr>
                <w:snapToGrid w:val="0"/>
                <w:color w:val="000000" w:themeColor="text1"/>
                <w:szCs w:val="21"/>
                <w14:textFill>
                  <w14:solidFill>
                    <w14:schemeClr w14:val="tx1"/>
                  </w14:solidFill>
                </w14:textFill>
              </w:rPr>
              <w:t>PM</w:t>
            </w:r>
            <w:r>
              <w:rPr>
                <w:snapToGrid w:val="0"/>
                <w:color w:val="000000" w:themeColor="text1"/>
                <w:szCs w:val="21"/>
                <w:vertAlign w:val="subscript"/>
                <w14:textFill>
                  <w14:solidFill>
                    <w14:schemeClr w14:val="tx1"/>
                  </w14:solidFill>
                </w14:textFill>
              </w:rPr>
              <w:t>10</w:t>
            </w:r>
            <w:r>
              <w:rPr>
                <w:color w:val="000000" w:themeColor="text1"/>
                <w:sz w:val="24"/>
                <w14:textFill>
                  <w14:solidFill>
                    <w14:schemeClr w14:val="tx1"/>
                  </w14:solidFill>
                </w14:textFill>
              </w:rPr>
              <w:t>年均值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O</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日最大8小时平均值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年均值、CO日均值</w:t>
            </w:r>
            <w:r>
              <w:rPr>
                <w:rFonts w:hint="eastAsia"/>
                <w:color w:val="000000" w:themeColor="text1"/>
                <w:sz w:val="24"/>
                <w14:textFill>
                  <w14:solidFill>
                    <w14:schemeClr w14:val="tx1"/>
                  </w14:solidFill>
                </w14:textFill>
              </w:rPr>
              <w:t>均</w:t>
            </w:r>
            <w:r>
              <w:rPr>
                <w:color w:val="000000" w:themeColor="text1"/>
                <w:sz w:val="24"/>
                <w14:textFill>
                  <w14:solidFill>
                    <w14:schemeClr w14:val="tx1"/>
                  </w14:solidFill>
                </w14:textFill>
              </w:rPr>
              <w:t>满足《环境空气质量标准》（GB3095-2012）的二级标准，属于达标区。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（2）补充监测</w:t>
            </w:r>
          </w:p>
          <w:p>
            <w:pPr>
              <w:autoSpaceDE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为了解项目所在地区域环境现状质量，特征因子二噁英、</w:t>
            </w:r>
            <w:r>
              <w:rPr>
                <w:rFonts w:hint="eastAsia"/>
                <w:color w:val="000000" w:themeColor="text1"/>
                <w:sz w:val="24"/>
                <w14:textFill>
                  <w14:solidFill>
                    <w14:schemeClr w14:val="tx1"/>
                  </w14:solidFill>
                </w14:textFill>
              </w:rPr>
              <w:t>HCL</w:t>
            </w:r>
            <w:r>
              <w:rPr>
                <w:color w:val="000000" w:themeColor="text1"/>
                <w:sz w:val="24"/>
                <w14:textFill>
                  <w14:solidFill>
                    <w14:schemeClr w14:val="tx1"/>
                  </w14:solidFill>
                </w14:textFill>
              </w:rPr>
              <w:t>、汞环境现状质量</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建设单位委托</w:t>
            </w:r>
            <w:r>
              <w:rPr>
                <w:rFonts w:hint="eastAsia"/>
                <w:color w:val="000000" w:themeColor="text1"/>
                <w:sz w:val="24"/>
                <w14:textFill>
                  <w14:solidFill>
                    <w14:schemeClr w14:val="tx1"/>
                  </w14:solidFill>
                </w14:textFill>
              </w:rPr>
              <w:t>江西龙辉检测技术有限公司于2021.11.30~12.7对项目所在地环境空气质量进行现状监测</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监测点位</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下风向下岭孜</w:t>
            </w:r>
            <w:r>
              <w:rPr>
                <w:color w:val="000000" w:themeColor="text1"/>
                <w:sz w:val="24"/>
                <w14:textFill>
                  <w14:solidFill>
                    <w14:schemeClr w14:val="tx1"/>
                  </w14:solidFill>
                </w14:textFill>
              </w:rPr>
              <w:t>。</w:t>
            </w:r>
          </w:p>
          <w:p>
            <w:pPr>
              <w:jc w:val="center"/>
              <w:outlineLvl w:val="1"/>
              <w:rPr>
                <w:b/>
                <w:color w:val="000000" w:themeColor="text1"/>
                <w:sz w:val="24"/>
                <w14:textFill>
                  <w14:solidFill>
                    <w14:schemeClr w14:val="tx1"/>
                  </w14:solidFill>
                </w14:textFill>
              </w:rPr>
            </w:pPr>
            <w:r>
              <w:rPr>
                <w:b/>
                <w:color w:val="000000" w:themeColor="text1"/>
                <w:sz w:val="24"/>
                <w14:textFill>
                  <w14:solidFill>
                    <w14:schemeClr w14:val="tx1"/>
                  </w14:solidFill>
                </w14:textFill>
              </w:rPr>
              <w:t>表3-2  大气环境现状监测点位基本信息表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140"/>
              <w:gridCol w:w="3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34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监测点序号</w:t>
                  </w:r>
                </w:p>
              </w:tc>
              <w:tc>
                <w:tcPr>
                  <w:tcW w:w="134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监测点名称</w:t>
                  </w:r>
                </w:p>
              </w:tc>
              <w:tc>
                <w:tcPr>
                  <w:tcW w:w="2316"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2" w:type="pct"/>
                  <w:vAlign w:val="center"/>
                </w:tcPr>
                <w:p>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G1</w:t>
                  </w:r>
                </w:p>
              </w:tc>
              <w:tc>
                <w:tcPr>
                  <w:tcW w:w="1342" w:type="pct"/>
                  <w:vAlign w:val="center"/>
                </w:tcPr>
                <w:p>
                  <w:pPr>
                    <w:pStyle w:val="124"/>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下岭孜</w:t>
                  </w:r>
                  <w:r>
                    <w:rPr>
                      <w:color w:val="000000" w:themeColor="text1"/>
                      <w:szCs w:val="21"/>
                      <w14:textFill>
                        <w14:solidFill>
                          <w14:schemeClr w14:val="tx1"/>
                        </w14:solidFill>
                      </w14:textFill>
                    </w:rPr>
                    <w:t>居民点</w:t>
                  </w:r>
                </w:p>
              </w:tc>
              <w:tc>
                <w:tcPr>
                  <w:tcW w:w="2316" w:type="pct"/>
                  <w:vAlign w:val="center"/>
                </w:tcPr>
                <w:p>
                  <w:pPr>
                    <w:pStyle w:val="124"/>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124"/>
                    <w:spacing w:before="120" w:beforeLines="50" w:line="360" w:lineRule="auto"/>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905375" cy="3486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05375" cy="3486387"/>
                                </a:xfrm>
                                <a:prstGeom prst="rect">
                                  <a:avLst/>
                                </a:prstGeom>
                                <a:noFill/>
                                <a:ln>
                                  <a:noFill/>
                                </a:ln>
                              </pic:spPr>
                            </pic:pic>
                          </a:graphicData>
                        </a:graphic>
                      </wp:inline>
                    </w:drawing>
                  </w:r>
                </w:p>
              </w:tc>
            </w:tr>
          </w:tbl>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（3）监测项目：HCl、二噁英、汞，共3项。</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（4）监测时间及频率：进行一期监测，连续监测7天。每天采样不少于4次，每次采样不少于45分钟，具体时间为：2:00、8:00、14:00、20:00。</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（5）监测及分析方法</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按《环境影响评价技术导则大气环境》（HJ2.2－2018）、《环境空气质量评价技术规范（试行）（HJ663－2013）》和《环境空气质量监测点位布设技术规范（试行）》（HJ664－2013）执行。</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表3-3    </w:t>
            </w:r>
            <w:r>
              <w:rPr>
                <w:b/>
                <w:color w:val="000000" w:themeColor="text1"/>
                <w:kern w:val="0"/>
                <w:sz w:val="24"/>
                <w:lang w:val="en-GB"/>
                <w14:textFill>
                  <w14:solidFill>
                    <w14:schemeClr w14:val="tx1"/>
                  </w14:solidFill>
                </w14:textFill>
              </w:rPr>
              <w:t>其他污染物环境质量现状（监测结果）</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20"/>
              <w:gridCol w:w="1749"/>
              <w:gridCol w:w="1599"/>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restart"/>
                  <w:tcBorders>
                    <w:top w:val="single" w:color="auto" w:sz="12" w:space="0"/>
                    <w:left w:val="nil"/>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检测项目</w:t>
                  </w:r>
                </w:p>
              </w:tc>
              <w:tc>
                <w:tcPr>
                  <w:tcW w:w="1392" w:type="pct"/>
                  <w:vMerge w:val="restart"/>
                  <w:tcBorders>
                    <w:top w:val="single" w:color="auto" w:sz="12" w:space="0"/>
                    <w:left w:val="single" w:color="auto" w:sz="4" w:space="0"/>
                    <w:bottom w:val="single" w:color="auto" w:sz="4" w:space="0"/>
                    <w:right w:val="single" w:color="auto" w:sz="4" w:space="0"/>
                    <w:tl2br w:val="single" w:color="auto" w:sz="6" w:space="0"/>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采样点位</w:t>
                  </w:r>
                </w:p>
                <w:p>
                  <w:pPr>
                    <w:widowControl/>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采样时间</w:t>
                  </w:r>
                </w:p>
              </w:tc>
              <w:tc>
                <w:tcPr>
                  <w:tcW w:w="1097"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采样时段</w:t>
                  </w:r>
                </w:p>
              </w:tc>
              <w:tc>
                <w:tcPr>
                  <w:tcW w:w="1949" w:type="pct"/>
                  <w:gridSpan w:val="2"/>
                  <w:tcBorders>
                    <w:top w:val="single" w:color="auto" w:sz="12" w:space="0"/>
                    <w:left w:val="single" w:color="auto" w:sz="4" w:space="0"/>
                    <w:bottom w:val="single" w:color="auto" w:sz="4" w:space="0"/>
                    <w:right w:val="nil"/>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下岭孜居民点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p>
              </w:tc>
              <w:tc>
                <w:tcPr>
                  <w:tcW w:w="139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p>
              </w:tc>
              <w:tc>
                <w:tcPr>
                  <w:tcW w:w="109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p>
              </w:tc>
              <w:tc>
                <w:tcPr>
                  <w:tcW w:w="100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样品编号</w:t>
                  </w:r>
                </w:p>
              </w:tc>
              <w:tc>
                <w:tcPr>
                  <w:tcW w:w="944" w:type="pct"/>
                  <w:tcBorders>
                    <w:top w:val="single" w:color="auto" w:sz="4" w:space="0"/>
                    <w:left w:val="single" w:color="auto" w:sz="4" w:space="0"/>
                    <w:bottom w:val="single" w:color="auto" w:sz="4" w:space="0"/>
                    <w:right w:val="nil"/>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分析结果</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氯化氢</w:t>
                  </w:r>
                </w:p>
              </w:tc>
              <w:tc>
                <w:tcPr>
                  <w:tcW w:w="1392" w:type="pct"/>
                  <w:vMerge w:val="restart"/>
                  <w:tcBorders>
                    <w:top w:val="single" w:color="auto" w:sz="4" w:space="0"/>
                    <w:left w:val="single" w:color="auto" w:sz="4" w:space="0"/>
                    <w:right w:val="single" w:color="auto" w:sz="4" w:space="0"/>
                  </w:tcBorders>
                  <w:vAlign w:val="center"/>
                </w:tcPr>
                <w:p>
                  <w:pPr>
                    <w:tabs>
                      <w:tab w:val="left" w:pos="645"/>
                    </w:tabs>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2021.11.30</w:t>
                  </w:r>
                </w:p>
              </w:tc>
              <w:tc>
                <w:tcPr>
                  <w:tcW w:w="1097"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H1201Q001</w:t>
                  </w:r>
                </w:p>
              </w:tc>
              <w:tc>
                <w:tcPr>
                  <w:tcW w:w="944"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H1201Q002</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H1201Q003</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H1201Q004</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2021.12.1</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H1201Q006</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H1201Q007</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H1201Q008</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2021.12.2</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H1201Q009</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H1201Q010</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H1201Q011</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H1201Q012</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2021.12.3</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H1201Q013</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H1201Q014</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H1201Q016</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2021.12.4</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H1201Q017</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H1201Q018</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H1201Q019</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H1201Q020</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2021.12.5</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H1201Q021</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H1201Q022</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H1201Q023</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H1201Q024</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2021.12.6</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H1201Q026</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H1201Q027</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H1201Q028</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restar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汞</w:t>
                  </w:r>
                </w:p>
              </w:tc>
              <w:tc>
                <w:tcPr>
                  <w:tcW w:w="1392" w:type="pct"/>
                  <w:vMerge w:val="restart"/>
                  <w:tcBorders>
                    <w:top w:val="single" w:color="auto" w:sz="4" w:space="0"/>
                    <w:left w:val="single" w:color="auto" w:sz="4" w:space="0"/>
                    <w:right w:val="single" w:color="auto" w:sz="4" w:space="0"/>
                  </w:tcBorders>
                  <w:vAlign w:val="center"/>
                </w:tcPr>
                <w:p>
                  <w:pPr>
                    <w:tabs>
                      <w:tab w:val="left" w:pos="645"/>
                    </w:tabs>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2021.11.30</w:t>
                  </w:r>
                </w:p>
              </w:tc>
              <w:tc>
                <w:tcPr>
                  <w:tcW w:w="1097"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H1201Q029</w:t>
                  </w:r>
                </w:p>
              </w:tc>
              <w:tc>
                <w:tcPr>
                  <w:tcW w:w="944"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H1201Q030</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H1201Q031</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H1201Q032</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2021.12.1</w:t>
                  </w:r>
                </w:p>
              </w:tc>
              <w:tc>
                <w:tcPr>
                  <w:tcW w:w="1097" w:type="pct"/>
                  <w:tcBorders>
                    <w:top w:val="single" w:color="auto" w:sz="4" w:space="0"/>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H1201Q033</w:t>
                  </w:r>
                </w:p>
              </w:tc>
              <w:tc>
                <w:tcPr>
                  <w:tcW w:w="944"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H1201Q034</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H1201Q036</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top w:val="single" w:color="auto" w:sz="4" w:space="0"/>
                    <w:left w:val="single" w:color="auto" w:sz="4" w:space="0"/>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2021.12.2</w:t>
                  </w:r>
                </w:p>
              </w:tc>
              <w:tc>
                <w:tcPr>
                  <w:tcW w:w="1097"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H1201Q037</w:t>
                  </w:r>
                </w:p>
              </w:tc>
              <w:tc>
                <w:tcPr>
                  <w:tcW w:w="944"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H1201Q038</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H1201Q039</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H1201Q040</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2021.12.3</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H1201Q041</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H1201Q042</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H1201Q043</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H1201Q044</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2021.12.4</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H1201Q046</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H1201Q047</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H1201Q048</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2021.12.5</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H1201Q049</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H1201Q050</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H1201Q051</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H1201Q052</w:t>
                  </w:r>
                </w:p>
              </w:tc>
              <w:tc>
                <w:tcPr>
                  <w:tcW w:w="944"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2021.12.6</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H1201Q053</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H1201Q054</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H1201Q055</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92"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100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H1201Q056</w:t>
                  </w:r>
                </w:p>
              </w:tc>
              <w:tc>
                <w:tcPr>
                  <w:tcW w:w="944"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tcBorders>
                    <w:left w:val="nil"/>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检测项目</w:t>
                  </w:r>
                </w:p>
              </w:tc>
              <w:tc>
                <w:tcPr>
                  <w:tcW w:w="1392" w:type="pct"/>
                  <w:tcBorders>
                    <w:left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监测时间</w:t>
                  </w:r>
                </w:p>
              </w:tc>
              <w:tc>
                <w:tcPr>
                  <w:tcW w:w="1097" w:type="pct"/>
                  <w:tcBorders>
                    <w:left w:val="nil"/>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采样样品编号</w:t>
                  </w:r>
                </w:p>
              </w:tc>
              <w:tc>
                <w:tcPr>
                  <w:tcW w:w="1949" w:type="pct"/>
                  <w:gridSpan w:val="2"/>
                  <w:tcBorders>
                    <w:left w:val="single" w:color="auto" w:sz="4" w:space="0"/>
                    <w:right w:val="nil"/>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检测结果（pg-TEQ/m</w:t>
                  </w:r>
                  <w:r>
                    <w:rPr>
                      <w:rFonts w:hint="eastAsia"/>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环境空气中二噁英（石英纤维滤膜、PUF）</w:t>
                  </w: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08</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09</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1208E120101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09</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K211209E120101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K211210E120101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K211211E120101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13</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K211212E120101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13</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11213E120101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92"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c>
                <w:tcPr>
                  <w:tcW w:w="1097"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K211214E120101</w:t>
                  </w:r>
                </w:p>
              </w:tc>
              <w:tc>
                <w:tcPr>
                  <w:tcW w:w="1949"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tcBorders>
                    <w:left w:val="nil"/>
                    <w:bottom w:val="single" w:color="auto" w:sz="12" w:space="0"/>
                    <w:right w:val="single" w:color="auto" w:sz="4" w:space="0"/>
                  </w:tcBorders>
                  <w:vAlign w:val="center"/>
                </w:tcPr>
                <w:p>
                  <w:pPr>
                    <w:ind w:right="-105" w:rightChars="-50"/>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备注</w:t>
                  </w:r>
                </w:p>
              </w:tc>
              <w:tc>
                <w:tcPr>
                  <w:tcW w:w="4438" w:type="pct"/>
                  <w:gridSpan w:val="4"/>
                  <w:tcBorders>
                    <w:left w:val="single" w:color="auto" w:sz="4" w:space="0"/>
                    <w:bottom w:val="single" w:color="auto" w:sz="12" w:space="0"/>
                    <w:right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r>
                    <w:rPr>
                      <w:color w:val="000000" w:themeColor="text1"/>
                      <w:szCs w:val="21"/>
                      <w14:textFill>
                        <w14:solidFill>
                          <w14:schemeClr w14:val="tx1"/>
                        </w14:solidFill>
                      </w14:textFill>
                    </w:rPr>
                    <w:t>表示检测结果低于该项目方法检出限</w:t>
                  </w:r>
                  <w:r>
                    <w:rPr>
                      <w:rFonts w:hint="eastAsia"/>
                      <w:color w:val="000000" w:themeColor="text1"/>
                      <w:szCs w:val="21"/>
                      <w14:textFill>
                        <w14:solidFill>
                          <w14:schemeClr w14:val="tx1"/>
                        </w14:solidFill>
                      </w14:textFill>
                    </w:rPr>
                    <w:t>。</w:t>
                  </w:r>
                </w:p>
              </w:tc>
            </w:tr>
          </w:tbl>
          <w:p>
            <w:pPr>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根据补充监测结果，评价范围内环境空气现状评价因子中污染物HCl能满足《环境影响评价技术导则大气环境》（HJ2.2-2018）附录D 表D.1其它污染物空气质量浓度参考限值，</w:t>
            </w:r>
            <w:r>
              <w:rPr>
                <w:rFonts w:hint="eastAsia"/>
                <w:color w:val="000000" w:themeColor="text1"/>
                <w:sz w:val="24"/>
                <w14:textFill>
                  <w14:solidFill>
                    <w14:schemeClr w14:val="tx1"/>
                  </w14:solidFill>
                </w14:textFill>
              </w:rPr>
              <w:t>二噁英满足本项目参照执行的日本大气环境质量标准，汞满足本项目参照执行的前苏联环境空气质量标准。</w:t>
            </w:r>
          </w:p>
          <w:p>
            <w:pPr>
              <w:spacing w:before="2" w:line="364" w:lineRule="auto"/>
              <w:ind w:right="515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2、地表水环境</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本项目地表水质量现状引用江西恒定环保检测服务有限公司于2021年4月25日-27日对唐江镇污水处理厂圩镇入河排污口河段水质现状监测数据。</w:t>
            </w:r>
          </w:p>
          <w:p>
            <w:pPr>
              <w:pStyle w:val="2"/>
              <w:spacing w:after="0"/>
              <w:ind w:left="0" w:left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eastAsia="TimesNewRomanPS-BoldMT"/>
                <w:b/>
                <w:bCs/>
                <w:color w:val="000000" w:themeColor="text1"/>
                <w14:textFill>
                  <w14:solidFill>
                    <w14:schemeClr w14:val="tx1"/>
                  </w14:solidFill>
                </w14:textFill>
              </w:rPr>
              <w:t xml:space="preserve">3-3 </w:t>
            </w:r>
            <w:r>
              <w:rPr>
                <w:b/>
                <w:color w:val="000000" w:themeColor="text1"/>
                <w14:textFill>
                  <w14:solidFill>
                    <w14:schemeClr w14:val="tx1"/>
                  </w14:solidFill>
                </w14:textFill>
              </w:rPr>
              <w:t>地表水监测断面及布设情况</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418"/>
              <w:gridCol w:w="4678"/>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55"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889"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断面编号</w:t>
                  </w:r>
                </w:p>
              </w:tc>
              <w:tc>
                <w:tcPr>
                  <w:tcW w:w="2933"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监测断面位置</w:t>
                  </w:r>
                </w:p>
              </w:tc>
              <w:tc>
                <w:tcPr>
                  <w:tcW w:w="724" w:type="pct"/>
                  <w:vAlign w:val="center"/>
                </w:tcPr>
                <w:p>
                  <w:pPr>
                    <w:pStyle w:val="3"/>
                    <w:pBdr>
                      <w:bottom w:val="none" w:color="auto" w:sz="0" w:space="0"/>
                    </w:pBd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设置目的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唐江镇圩镇污水处理站入河排污口地表水监测数据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89"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上犹江SW1</w:t>
                  </w:r>
                </w:p>
              </w:tc>
              <w:tc>
                <w:tcPr>
                  <w:tcW w:w="2933"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入河排污口入上犹江上游500m处</w:t>
                  </w:r>
                </w:p>
              </w:tc>
              <w:tc>
                <w:tcPr>
                  <w:tcW w:w="724"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对照断面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89"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上犹江SW2</w:t>
                  </w:r>
                </w:p>
              </w:tc>
              <w:tc>
                <w:tcPr>
                  <w:tcW w:w="2933"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入河排污口入上犹江上游1000m处</w:t>
                  </w:r>
                </w:p>
              </w:tc>
              <w:tc>
                <w:tcPr>
                  <w:tcW w:w="724"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控制断面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89"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上犹江SW3</w:t>
                  </w:r>
                </w:p>
              </w:tc>
              <w:tc>
                <w:tcPr>
                  <w:tcW w:w="2933"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入河排污口入上犹江上游3000m处</w:t>
                  </w:r>
                </w:p>
              </w:tc>
              <w:tc>
                <w:tcPr>
                  <w:tcW w:w="724" w:type="pct"/>
                  <w:vAlign w:val="center"/>
                </w:tcPr>
                <w:p>
                  <w:pPr>
                    <w:pStyle w:val="3"/>
                    <w:pBdr>
                      <w:bottom w:val="none" w:color="auto" w:sz="0" w:space="0"/>
                    </w:pBd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削减断面</w:t>
                  </w:r>
                </w:p>
              </w:tc>
            </w:tr>
          </w:tbl>
          <w:p>
            <w:pPr>
              <w:pStyle w:val="3"/>
              <w:pBdr>
                <w:bottom w:val="none" w:color="auto" w:sz="0" w:space="0"/>
              </w:pBdr>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地表水环境监测及评价统计结果详见下表：</w:t>
            </w:r>
          </w:p>
          <w:p>
            <w:pPr>
              <w:pStyle w:val="2"/>
              <w:spacing w:after="0"/>
              <w:ind w:left="0" w:left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eastAsia="TimesNewRomanPS-BoldMT"/>
                <w:b/>
                <w:bCs/>
                <w:color w:val="000000" w:themeColor="text1"/>
                <w14:textFill>
                  <w14:solidFill>
                    <w14:schemeClr w14:val="tx1"/>
                  </w14:solidFill>
                </w14:textFill>
              </w:rPr>
              <w:t>3-</w:t>
            </w:r>
            <w:r>
              <w:rPr>
                <w:rFonts w:hint="eastAsia" w:eastAsia="TimesNewRomanPS-BoldMT"/>
                <w:b/>
                <w:bCs/>
                <w:color w:val="000000" w:themeColor="text1"/>
                <w14:textFill>
                  <w14:solidFill>
                    <w14:schemeClr w14:val="tx1"/>
                  </w14:solidFill>
                </w14:textFill>
              </w:rPr>
              <w:t>4</w:t>
            </w:r>
            <w:r>
              <w:rPr>
                <w:rFonts w:hint="eastAsia"/>
                <w:b/>
                <w:color w:val="000000" w:themeColor="text1"/>
                <w14:textFill>
                  <w14:solidFill>
                    <w14:schemeClr w14:val="tx1"/>
                  </w14:solidFill>
                </w14:textFill>
              </w:rPr>
              <w:t>水质监测结果及评价指数表   （单位：mg/L，pH 为无量纲）</w:t>
            </w:r>
          </w:p>
          <w:tbl>
            <w:tblPr>
              <w:tblStyle w:val="10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148"/>
              <w:gridCol w:w="978"/>
              <w:gridCol w:w="78"/>
              <w:gridCol w:w="1056"/>
              <w:gridCol w:w="1056"/>
              <w:gridCol w:w="899"/>
              <w:gridCol w:w="742"/>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评价因子</w:t>
                  </w:r>
                </w:p>
              </w:tc>
              <w:tc>
                <w:tcPr>
                  <w:tcW w:w="720" w:type="pct"/>
                  <w:vMerge w:val="restar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监测点位</w:t>
                  </w:r>
                </w:p>
              </w:tc>
              <w:tc>
                <w:tcPr>
                  <w:tcW w:w="1986" w:type="pct"/>
                  <w:gridSpan w:val="4"/>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监测结果</w:t>
                  </w:r>
                </w:p>
              </w:tc>
              <w:tc>
                <w:tcPr>
                  <w:tcW w:w="564" w:type="pct"/>
                  <w:vMerge w:val="restar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平均值</w:t>
                  </w:r>
                </w:p>
              </w:tc>
              <w:tc>
                <w:tcPr>
                  <w:tcW w:w="465" w:type="pct"/>
                  <w:vMerge w:val="restar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标准值</w:t>
                  </w:r>
                </w:p>
              </w:tc>
              <w:tc>
                <w:tcPr>
                  <w:tcW w:w="366" w:type="pct"/>
                  <w:vMerge w:val="restar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hint="eastAsia" w:eastAsiaTheme="minorEastAsia"/>
                      <w:b/>
                      <w:color w:val="000000" w:themeColor="text1"/>
                      <w:sz w:val="21"/>
                      <w:szCs w:val="21"/>
                      <w14:textFill>
                        <w14:solidFill>
                          <w14:schemeClr w14:val="tx1"/>
                        </w14:solidFill>
                      </w14:textFill>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p>
              </w:tc>
              <w:tc>
                <w:tcPr>
                  <w:tcW w:w="720" w:type="pct"/>
                  <w:vMerge w:val="continue"/>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p>
              </w:tc>
              <w:tc>
                <w:tcPr>
                  <w:tcW w:w="662" w:type="pct"/>
                  <w:gridSpan w:val="2"/>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2021.4.25</w:t>
                  </w:r>
                </w:p>
              </w:tc>
              <w:tc>
                <w:tcPr>
                  <w:tcW w:w="662" w:type="pc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2021.4.2</w:t>
                  </w:r>
                  <w:r>
                    <w:rPr>
                      <w:rFonts w:hint="eastAsia" w:eastAsiaTheme="minorEastAsia"/>
                      <w:b/>
                      <w:color w:val="000000" w:themeColor="text1"/>
                      <w:sz w:val="21"/>
                      <w:szCs w:val="21"/>
                      <w14:textFill>
                        <w14:solidFill>
                          <w14:schemeClr w14:val="tx1"/>
                        </w14:solidFill>
                      </w14:textFill>
                    </w:rPr>
                    <w:t>6</w:t>
                  </w:r>
                </w:p>
              </w:tc>
              <w:tc>
                <w:tcPr>
                  <w:tcW w:w="662" w:type="pct"/>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2021.4.2</w:t>
                  </w:r>
                  <w:r>
                    <w:rPr>
                      <w:rFonts w:hint="eastAsia" w:eastAsiaTheme="minorEastAsia"/>
                      <w:b/>
                      <w:color w:val="000000" w:themeColor="text1"/>
                      <w:sz w:val="21"/>
                      <w:szCs w:val="21"/>
                      <w14:textFill>
                        <w14:solidFill>
                          <w14:schemeClr w14:val="tx1"/>
                        </w14:solidFill>
                      </w14:textFill>
                    </w:rPr>
                    <w:t>7</w:t>
                  </w:r>
                </w:p>
              </w:tc>
              <w:tc>
                <w:tcPr>
                  <w:tcW w:w="564" w:type="pct"/>
                  <w:vMerge w:val="continue"/>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p>
              </w:tc>
              <w:tc>
                <w:tcPr>
                  <w:tcW w:w="465" w:type="pct"/>
                  <w:vMerge w:val="continue"/>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p>
              </w:tc>
              <w:tc>
                <w:tcPr>
                  <w:tcW w:w="366" w:type="pct"/>
                  <w:vMerge w:val="continue"/>
                  <w:vAlign w:val="center"/>
                </w:tcPr>
                <w:p>
                  <w:pPr>
                    <w:pStyle w:val="4"/>
                    <w:spacing w:before="0" w:beforeAutospacing="0" w:after="0" w:afterAutospacing="0"/>
                    <w:jc w:val="center"/>
                    <w:rPr>
                      <w:rFonts w:eastAsiaTheme="minorEastAsia"/>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唐江镇圩镇污水处理站入河排污口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化学需氧量</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5</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4.67</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11</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12</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11.00</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7</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6</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6.33</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五日生化需氧量</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0.9</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0.8</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0.8</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0.83</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2.1</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2.03</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1.3</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1.37</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悬浮物</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16</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15</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15.00</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30</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19</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23</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22.00</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18</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16</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17</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17.00</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石油类</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0.03</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0.05</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0.01L</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0.03</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0.03</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0.03</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0.03</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阴离子表面活性剂</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0.2</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cr/>
                  </w:r>
                  <w:r>
                    <w:rPr>
                      <w:rFonts w:eastAsiaTheme="minorEastAsia"/>
                      <w:color w:val="000000" w:themeColor="text1"/>
                      <w:sz w:val="21"/>
                      <w:szCs w:val="21"/>
                      <w14:textFill>
                        <w14:solidFill>
                          <w14:schemeClr w14:val="tx1"/>
                        </w14:solidFill>
                      </w14:textFill>
                    </w:rPr>
                    <w:t>.05L</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0.05L</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氨氮</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0.071</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0.062</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0.059</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0.064</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0.076</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0.071</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0.068</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0.053</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0.047</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总磷</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0.2</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0.06</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w:t>
                  </w:r>
                  <w:r>
                    <w:rPr>
                      <w:rFonts w:hint="eastAsia" w:eastAsiaTheme="minorEastAsia"/>
                      <w:color w:val="000000" w:themeColor="text1"/>
                      <w:sz w:val="21"/>
                      <w:szCs w:val="21"/>
                      <w14:textFill>
                        <w14:solidFill>
                          <w14:schemeClr w14:val="tx1"/>
                        </w14:solidFill>
                      </w14:textFill>
                    </w:rPr>
                    <w:t>5</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w:t>
                  </w:r>
                  <w:r>
                    <w:rPr>
                      <w:rFonts w:hint="eastAsia" w:eastAsiaTheme="minorEastAsia"/>
                      <w:color w:val="000000" w:themeColor="text1"/>
                      <w:sz w:val="2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总氮</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0.56</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0.59</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0.57</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0.57</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0.43</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w:t>
                  </w:r>
                  <w:r>
                    <w:rPr>
                      <w:rFonts w:hint="eastAsia" w:eastAsiaTheme="minorEastAsia"/>
                      <w:color w:val="000000" w:themeColor="text1"/>
                      <w:sz w:val="21"/>
                      <w:szCs w:val="21"/>
                      <w14:textFill>
                        <w14:solidFill>
                          <w14:schemeClr w14:val="tx1"/>
                        </w14:solidFill>
                      </w14:textFill>
                    </w:rPr>
                    <w:t>2</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0.42</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0.42</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0.41</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0.41</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0.41</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色度（倍）</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4.00</w:t>
                  </w:r>
                </w:p>
              </w:tc>
              <w:tc>
                <w:tcPr>
                  <w:tcW w:w="465" w:type="pct"/>
                  <w:vMerge w:val="restart"/>
                  <w:vAlign w:val="center"/>
                </w:tcPr>
                <w:p>
                  <w:pPr>
                    <w:pStyle w:val="4"/>
                    <w:spacing w:before="0" w:after="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4.00</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4.00</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pH值</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7.37</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w:t>
                  </w:r>
                  <w:r>
                    <w:rPr>
                      <w:rFonts w:eastAsiaTheme="minorEastAsia"/>
                      <w:color w:val="000000" w:themeColor="text1"/>
                      <w:sz w:val="21"/>
                      <w:szCs w:val="21"/>
                      <w14:textFill>
                        <w14:solidFill>
                          <w14:schemeClr w14:val="tx1"/>
                        </w14:solidFill>
                      </w14:textFill>
                    </w:rPr>
                    <w:cr/>
                  </w:r>
                  <w:r>
                    <w:rPr>
                      <w:rFonts w:eastAsiaTheme="minorEastAsia"/>
                      <w:color w:val="000000" w:themeColor="text1"/>
                      <w:sz w:val="21"/>
                      <w:szCs w:val="21"/>
                      <w14:textFill>
                        <w14:solidFill>
                          <w14:schemeClr w14:val="tx1"/>
                        </w14:solidFill>
                      </w14:textFill>
                    </w:rPr>
                    <w:t>38</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7.41</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7.39</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6~9</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7.72</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7.75</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7.71</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7.73</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7.52</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7.5</w:t>
                  </w:r>
                  <w:r>
                    <w:rPr>
                      <w:rFonts w:hint="eastAsia" w:eastAsiaTheme="minorEastAsia"/>
                      <w:color w:val="000000" w:themeColor="text1"/>
                      <w:sz w:val="21"/>
                      <w:szCs w:val="21"/>
                      <w14:textFill>
                        <w14:solidFill>
                          <w14:schemeClr w14:val="tx1"/>
                        </w14:solidFill>
                      </w14:textFill>
                    </w:rPr>
                    <w:t>4</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7.51</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7.5</w:t>
                  </w:r>
                  <w:r>
                    <w:rPr>
                      <w:rFonts w:hint="eastAsia" w:eastAsiaTheme="minorEastAsia"/>
                      <w:color w:val="000000" w:themeColor="text1"/>
                      <w:sz w:val="21"/>
                      <w:szCs w:val="21"/>
                      <w14:textFill>
                        <w14:solidFill>
                          <w14:schemeClr w14:val="tx1"/>
                        </w14:solidFill>
                      </w14:textFill>
                    </w:rPr>
                    <w:t>2</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粪大肠菌群（MPN/L）</w:t>
                  </w: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SW1（上犹江）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490</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230</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330</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350.00</w:t>
                  </w:r>
                </w:p>
              </w:tc>
              <w:tc>
                <w:tcPr>
                  <w:tcW w:w="465" w:type="pct"/>
                  <w:vMerge w:val="restar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10000</w:t>
                  </w: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SW2（上犹江）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1100</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790</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1300</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1063.33</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720"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SW3（上犹江）</w:t>
                  </w:r>
                </w:p>
              </w:tc>
              <w:tc>
                <w:tcPr>
                  <w:tcW w:w="613"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2400</w:t>
                  </w:r>
                </w:p>
              </w:tc>
              <w:tc>
                <w:tcPr>
                  <w:tcW w:w="711" w:type="pct"/>
                  <w:gridSpan w:val="2"/>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2200</w:t>
                  </w:r>
                </w:p>
              </w:tc>
              <w:tc>
                <w:tcPr>
                  <w:tcW w:w="662"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790</w:t>
                  </w:r>
                </w:p>
              </w:tc>
              <w:tc>
                <w:tcPr>
                  <w:tcW w:w="564"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1796.67</w:t>
                  </w:r>
                </w:p>
              </w:tc>
              <w:tc>
                <w:tcPr>
                  <w:tcW w:w="465" w:type="pct"/>
                  <w:vMerge w:val="continue"/>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p>
              </w:tc>
              <w:tc>
                <w:tcPr>
                  <w:tcW w:w="366" w:type="pct"/>
                  <w:vAlign w:val="center"/>
                </w:tcPr>
                <w:p>
                  <w:pPr>
                    <w:pStyle w:val="4"/>
                    <w:spacing w:before="0" w:beforeAutospacing="0" w:after="0" w:afterAutospacing="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pPr>
                    <w:pStyle w:val="4"/>
                    <w:spacing w:before="0" w:beforeAutospacing="0" w:after="0" w:afterAutospacing="0"/>
                    <w:jc w:val="center"/>
                    <w:rPr>
                      <w:rFonts w:eastAsiaTheme="minorEastAsia"/>
                      <w:color w:val="000000" w:themeColor="text1"/>
                      <w:sz w:val="18"/>
                      <w14:textFill>
                        <w14:solidFill>
                          <w14:schemeClr w14:val="tx1"/>
                        </w14:solidFill>
                      </w14:textFill>
                    </w:rPr>
                  </w:pPr>
                  <w:r>
                    <w:rPr>
                      <w:rFonts w:hint="eastAsia" w:eastAsiaTheme="minorEastAsia"/>
                      <w:color w:val="000000" w:themeColor="text1"/>
                      <w:sz w:val="18"/>
                      <w14:textFill>
                        <w14:solidFill>
                          <w14:schemeClr w14:val="tx1"/>
                        </w14:solidFill>
                      </w14:textFill>
                    </w:rPr>
                    <w:t>注：ND表示未检出，低于检出下限的监测因子，按照检出下限的一半计算标准指数。</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根据地表水监测数据显示，各污染因子标准指数均小于1，满足《地表水环境质量标准》（GB3838-2002）中的Ⅲ类标准和《地表水资源质量标准》（SL63-94）三级标准，地表水环境质量状况良好。</w:t>
            </w:r>
          </w:p>
          <w:p>
            <w:pPr>
              <w:pStyle w:val="16"/>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3、声环境</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厂界周边50米范围内不存在声环境保护目标，根据《建设项目环境影响报告表编制技术指南》（污染影响型）中对区域环境质量现状的声环境要求，无需进行声环境质量现状监测。经现场踏勘，项目周边无重大噪声源，声环境质量满足《声环境质量标准》（GB3096-2008）中2类标准。</w:t>
            </w:r>
          </w:p>
          <w:p>
            <w:pPr>
              <w:pStyle w:val="16"/>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4、生态环境</w:t>
            </w:r>
          </w:p>
          <w:p>
            <w:pPr>
              <w:pStyle w:val="16"/>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项目所在区域生态环境敏感性为一般区域，区域内无珍稀动植物等需特殊保护物种，项目红线范围建设占地</w:t>
            </w:r>
            <w:r>
              <w:rPr>
                <w:color w:val="000000" w:themeColor="text1"/>
                <w:sz w:val="24"/>
                <w:szCs w:val="24"/>
                <w14:textFill>
                  <w14:solidFill>
                    <w14:schemeClr w14:val="tx1"/>
                  </w14:solidFill>
                </w14:textFill>
              </w:rPr>
              <w:t>102266.67</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，项目运营期外排废气、废水量较小，基本不对周边生态环境造成影响和破坏，因此本次评价不进行生态环境现状调查与评价。</w:t>
            </w:r>
          </w:p>
          <w:p>
            <w:pPr>
              <w:pStyle w:val="16"/>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综上所述，项目选址周边环境空气质量、地表水环境质量、声环境质量符合功能区划的要求，区域环境质量整体良好。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190" w:type="dxa"/>
            <w:vAlign w:val="center"/>
          </w:tcPr>
          <w:p>
            <w:pPr>
              <w:adjustRightInd w:val="0"/>
              <w:snapToGrid w:val="0"/>
              <w:spacing w:before="120" w:beforeLines="50"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根据现场踏勘，在评价范围内无自然保护区、风景名胜区、居住区、文化区和农村地区中人群较集中的区域等保护目标。</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根据项目所在区域的环境规划、环境功能区划及环境敏感目标的分布情况，评价区内的主要环境敏感目标</w:t>
            </w:r>
            <w:r>
              <w:rPr>
                <w:rFonts w:hint="eastAsia"/>
                <w:color w:val="000000" w:themeColor="text1"/>
                <w:kern w:val="0"/>
                <w:sz w:val="24"/>
                <w14:textFill>
                  <w14:solidFill>
                    <w14:schemeClr w14:val="tx1"/>
                  </w14:solidFill>
                </w14:textFill>
              </w:rPr>
              <w:t>见</w:t>
            </w:r>
            <w:r>
              <w:rPr>
                <w:color w:val="000000" w:themeColor="text1"/>
                <w:sz w:val="24"/>
                <w14:textFill>
                  <w14:solidFill>
                    <w14:schemeClr w14:val="tx1"/>
                  </w14:solidFill>
                </w14:textFill>
              </w:rPr>
              <w:t>表3-</w:t>
            </w:r>
            <w:r>
              <w:rPr>
                <w:rFonts w:hint="eastAsia"/>
                <w:color w:val="000000" w:themeColor="text1"/>
                <w:sz w:val="24"/>
                <w14:textFill>
                  <w14:solidFill>
                    <w14:schemeClr w14:val="tx1"/>
                  </w14:solidFill>
                </w14:textFill>
              </w:rPr>
              <w:t>4和表3-5</w:t>
            </w:r>
            <w:r>
              <w:rPr>
                <w:color w:val="000000" w:themeColor="text1"/>
                <w:sz w:val="24"/>
                <w14:textFill>
                  <w14:solidFill>
                    <w14:schemeClr w14:val="tx1"/>
                  </w14:solidFill>
                </w14:textFill>
              </w:rPr>
              <w:t>。</w:t>
            </w:r>
          </w:p>
          <w:p>
            <w:pPr>
              <w:adjustRightInd w:val="0"/>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  主要大气环境保护目标</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812"/>
              <w:gridCol w:w="738"/>
              <w:gridCol w:w="1263"/>
              <w:gridCol w:w="1070"/>
              <w:gridCol w:w="943"/>
              <w:gridCol w:w="903"/>
              <w:gridCol w:w="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972" w:type="pct"/>
                  <w:gridSpan w:val="2"/>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坐标/m</w:t>
                  </w:r>
                </w:p>
              </w:tc>
              <w:tc>
                <w:tcPr>
                  <w:tcW w:w="792"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保护对象</w:t>
                  </w:r>
                </w:p>
              </w:tc>
              <w:tc>
                <w:tcPr>
                  <w:tcW w:w="671"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保护内容</w:t>
                  </w:r>
                </w:p>
              </w:tc>
              <w:tc>
                <w:tcPr>
                  <w:tcW w:w="591"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环境功能区</w:t>
                  </w:r>
                </w:p>
              </w:tc>
              <w:tc>
                <w:tcPr>
                  <w:tcW w:w="566"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kern w:val="0"/>
                      <w14:textFill>
                        <w14:solidFill>
                          <w14:schemeClr w14:val="tx1"/>
                        </w14:solidFill>
                      </w14:textFill>
                    </w:rPr>
                    <w:t>相对厂址方位</w:t>
                  </w:r>
                </w:p>
              </w:tc>
              <w:tc>
                <w:tcPr>
                  <w:tcW w:w="563"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Merge w:val="continue"/>
                  <w:vAlign w:val="center"/>
                </w:tcPr>
                <w:p>
                  <w:pPr>
                    <w:adjustRightInd w:val="0"/>
                    <w:jc w:val="center"/>
                    <w:textAlignment w:val="baseline"/>
                    <w:rPr>
                      <w:color w:val="000000" w:themeColor="text1"/>
                      <w14:textFill>
                        <w14:solidFill>
                          <w14:schemeClr w14:val="tx1"/>
                        </w14:solidFill>
                      </w14:textFill>
                    </w:rPr>
                  </w:pPr>
                </w:p>
              </w:tc>
              <w:tc>
                <w:tcPr>
                  <w:tcW w:w="509" w:type="pc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463" w:type="pc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792" w:type="pct"/>
                  <w:vMerge w:val="continue"/>
                  <w:vAlign w:val="center"/>
                </w:tcPr>
                <w:p>
                  <w:pPr>
                    <w:adjustRightInd w:val="0"/>
                    <w:jc w:val="center"/>
                    <w:textAlignment w:val="baseline"/>
                    <w:rPr>
                      <w:color w:val="000000" w:themeColor="text1"/>
                      <w14:textFill>
                        <w14:solidFill>
                          <w14:schemeClr w14:val="tx1"/>
                        </w14:solidFill>
                      </w14:textFill>
                    </w:rPr>
                  </w:pPr>
                </w:p>
              </w:tc>
              <w:tc>
                <w:tcPr>
                  <w:tcW w:w="671" w:type="pct"/>
                  <w:vMerge w:val="continue"/>
                  <w:vAlign w:val="center"/>
                </w:tcPr>
                <w:p>
                  <w:pPr>
                    <w:adjustRightInd w:val="0"/>
                    <w:jc w:val="center"/>
                    <w:textAlignment w:val="baseline"/>
                    <w:rPr>
                      <w:color w:val="000000" w:themeColor="text1"/>
                      <w14:textFill>
                        <w14:solidFill>
                          <w14:schemeClr w14:val="tx1"/>
                        </w14:solidFill>
                      </w14:textFill>
                    </w:rPr>
                  </w:pP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Merge w:val="continue"/>
                  <w:vAlign w:val="center"/>
                </w:tcPr>
                <w:p>
                  <w:pPr>
                    <w:adjustRightInd w:val="0"/>
                    <w:jc w:val="center"/>
                    <w:textAlignment w:val="baseline"/>
                    <w:rPr>
                      <w:color w:val="000000" w:themeColor="text1"/>
                      <w14:textFill>
                        <w14:solidFill>
                          <w14:schemeClr w14:val="tx1"/>
                        </w14:solidFill>
                      </w14:textFill>
                    </w:rPr>
                  </w:pPr>
                </w:p>
              </w:tc>
              <w:tc>
                <w:tcPr>
                  <w:tcW w:w="563" w:type="pct"/>
                  <w:vMerge w:val="continue"/>
                  <w:vAlign w:val="center"/>
                </w:tcPr>
                <w:p>
                  <w:pPr>
                    <w:adjustRightInd w:val="0"/>
                    <w:jc w:val="center"/>
                    <w:textAlignment w:val="baseline"/>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下岭孜</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restar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二类区</w:t>
                  </w: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大岭背</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罗屋排</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-951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石壁下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大石陂</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黄竹坑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-475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星光村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-875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476</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岭孜上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-1067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822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沙角坝</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-1701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一糖厂社区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-445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1352</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桥头坑</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-1983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2067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巷</w:t>
                  </w:r>
                  <w:r>
                    <w:rPr>
                      <w:rFonts w:hint="eastAsia"/>
                      <w:color w:val="000000" w:themeColor="text1"/>
                      <w14:textFill>
                        <w14:solidFill>
                          <w14:schemeClr w14:val="tx1"/>
                        </w14:solidFill>
                      </w14:textFill>
                    </w:rPr>
                    <w:t>孜</w:t>
                  </w:r>
                  <w:r>
                    <w:rPr>
                      <w:color w:val="000000" w:themeColor="text1"/>
                      <w14:textFill>
                        <w14:solidFill>
                          <w14:schemeClr w14:val="tx1"/>
                        </w14:solidFill>
                      </w14:textFill>
                    </w:rPr>
                    <w:t>背</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-791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2021</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庄稼村</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大岭片</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450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1328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唐江路社区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542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2204</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3900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九驳桥社区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994</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1750</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卢尾村社区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1732</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岭棚下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1371</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村尾村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1613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马岗背</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1062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465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黄泥岗</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689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寨上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1037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196</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山塘里</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248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大坪孜</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1260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万罗坑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796</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-1499</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窝上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1131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-1657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太窝村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928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-1860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240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划形塘</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-1667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对门排</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大塘尾</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-299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焦田坑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-521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-665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马岭头</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-1028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-1290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树子下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-1587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古寨下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-1888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-1629</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西坑村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-1330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温屋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-1474</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-528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峨眉岭</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-890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889</w:t>
                  </w:r>
                </w:p>
              </w:tc>
            </w:tr>
          </w:tbl>
          <w:p>
            <w:pPr>
              <w:overflowPunct w:val="0"/>
              <w:adjustRightInd w:val="0"/>
              <w:ind w:firstLine="360" w:firstLineChars="200"/>
              <w:jc w:val="left"/>
              <w:textAlignment w:val="baseline"/>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注：经现场踏勘，本项目入口附近有零散店面，为当地村民自建房屋，自发售卖骨灰盒、菊花等商品，非常住居民房屋，此次环评无需将附近房屋纳入大气环境敏感保护目标。</w:t>
            </w:r>
          </w:p>
          <w:p>
            <w:pPr>
              <w:overflowPunct w:val="0"/>
              <w:adjustRightInd w:val="0"/>
              <w:spacing w:before="120" w:beforeLines="50"/>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 xml:space="preserve">  主要地表水、地下水及声环境保护目标</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07"/>
              <w:gridCol w:w="1163"/>
              <w:gridCol w:w="770"/>
              <w:gridCol w:w="1059"/>
              <w:gridCol w:w="976"/>
              <w:gridCol w:w="28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blHeader/>
                <w:jc w:val="center"/>
              </w:trPr>
              <w:tc>
                <w:tcPr>
                  <w:tcW w:w="694"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环境要素</w:t>
                  </w:r>
                </w:p>
              </w:tc>
              <w:tc>
                <w:tcPr>
                  <w:tcW w:w="729"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环境保护目标名称</w:t>
                  </w:r>
                </w:p>
              </w:tc>
              <w:tc>
                <w:tcPr>
                  <w:tcW w:w="483"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方位</w:t>
                  </w:r>
                </w:p>
              </w:tc>
              <w:tc>
                <w:tcPr>
                  <w:tcW w:w="664"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距项目最近距离（m）</w:t>
                  </w:r>
                </w:p>
              </w:tc>
              <w:tc>
                <w:tcPr>
                  <w:tcW w:w="612"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规模</w:t>
                  </w:r>
                </w:p>
              </w:tc>
              <w:tc>
                <w:tcPr>
                  <w:tcW w:w="1818" w:type="pct"/>
                  <w:vAlign w:val="center"/>
                </w:tcPr>
                <w:p>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94"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729"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上犹江</w:t>
                  </w:r>
                </w:p>
              </w:tc>
              <w:tc>
                <w:tcPr>
                  <w:tcW w:w="483"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664"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1900</w:t>
                  </w:r>
                </w:p>
              </w:tc>
              <w:tc>
                <w:tcPr>
                  <w:tcW w:w="612"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w:t>
                  </w:r>
                  <w:r>
                    <w:rPr>
                      <w:color w:val="000000" w:themeColor="text1"/>
                      <w14:textFill>
                        <w14:solidFill>
                          <w14:schemeClr w14:val="tx1"/>
                        </w14:solidFill>
                      </w14:textFill>
                    </w:rPr>
                    <w:t>型河流</w:t>
                  </w:r>
                </w:p>
              </w:tc>
              <w:tc>
                <w:tcPr>
                  <w:tcW w:w="1818"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p>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（GB3838-2002）III类水标准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94"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729"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项目厂界</w:t>
                  </w:r>
                </w:p>
              </w:tc>
              <w:tc>
                <w:tcPr>
                  <w:tcW w:w="483"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东南西北</w:t>
                  </w:r>
                </w:p>
              </w:tc>
              <w:tc>
                <w:tcPr>
                  <w:tcW w:w="664"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612"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818"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《声环境质量标准》（GB3096-2008）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94"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729"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当地地下水</w:t>
                  </w:r>
                </w:p>
              </w:tc>
              <w:tc>
                <w:tcPr>
                  <w:tcW w:w="483"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4"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18"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《地下水质量标准》（GB/T14848-2017）中Ⅲ类水质标准</w:t>
                  </w:r>
                </w:p>
              </w:tc>
            </w:tr>
          </w:tbl>
          <w:p>
            <w:pPr>
              <w:adjustRightInd w:val="0"/>
              <w:snapToGrid w:val="0"/>
              <w:spacing w:line="360" w:lineRule="auto"/>
              <w:ind w:firstLine="480" w:firstLineChars="200"/>
              <w:jc w:val="left"/>
              <w:rPr>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190" w:type="dxa"/>
            <w:vAlign w:val="center"/>
          </w:tcPr>
          <w:p>
            <w:pPr>
              <w:pStyle w:val="35"/>
              <w:widowControl/>
              <w:ind w:firstLine="0" w:firstLineChars="0"/>
              <w:rPr>
                <w:rFonts w:ascii="Times New Roman" w:hAnsi="Times New Roman" w:eastAsia="宋体" w:cs="Times New Roman"/>
                <w:snapToGrid w:val="0"/>
                <w:color w:val="000000" w:themeColor="text1"/>
                <w:kern w:val="2"/>
                <w:szCs w:val="22"/>
                <w14:textFill>
                  <w14:solidFill>
                    <w14:schemeClr w14:val="tx1"/>
                  </w14:solidFill>
                </w14:textFill>
              </w:rPr>
            </w:pPr>
            <w:r>
              <w:rPr>
                <w:rFonts w:ascii="Times New Roman" w:hAnsi="Times New Roman" w:eastAsia="宋体" w:cs="Times New Roman"/>
                <w:snapToGrid w:val="0"/>
                <w:color w:val="000000" w:themeColor="text1"/>
                <w:kern w:val="2"/>
                <w:szCs w:val="22"/>
                <w14:textFill>
                  <w14:solidFill>
                    <w14:schemeClr w14:val="tx1"/>
                  </w14:solidFill>
                </w14:textFill>
              </w:rPr>
              <w:t>1、废气</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项目施工期已过。营运期火化炉燃烧废气执行《火葬场大气污染物排放标准》（GB13801-2015）；食堂油烟废气排放参照执行《饮食业油烟排放标准（试行）》（GB18483-2001）中的小型标准。</w:t>
            </w:r>
          </w:p>
          <w:p>
            <w:pPr>
              <w:pStyle w:val="86"/>
              <w:jc w:val="center"/>
              <w:rPr>
                <w:rFonts w:ascii="Times New Roman" w:hAnsi="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w:t>
            </w:r>
            <w:r>
              <w:rPr>
                <w:rFonts w:hint="eastAsia" w:ascii="Times New Roman" w:hAnsi="Times New Roman" w:eastAsia="宋体" w:cs="Times New Roman"/>
                <w:b/>
                <w:color w:val="000000" w:themeColor="text1"/>
                <w:sz w:val="24"/>
                <w:lang w:val="en-US"/>
                <w14:textFill>
                  <w14:solidFill>
                    <w14:schemeClr w14:val="tx1"/>
                  </w14:solidFill>
                </w14:textFill>
              </w:rPr>
              <w:t>3-6</w:t>
            </w:r>
            <w:r>
              <w:rPr>
                <w:rFonts w:ascii="Times New Roman" w:hAnsi="Times New Roman" w:eastAsia="宋体" w:cs="Times New Roman"/>
                <w:b/>
                <w:color w:val="000000" w:themeColor="text1"/>
                <w:sz w:val="24"/>
                <w14:textFill>
                  <w14:solidFill>
                    <w14:schemeClr w14:val="tx1"/>
                  </w14:solidFill>
                </w14:textFill>
              </w:rPr>
              <w:t xml:space="preserve"> 遗体火化大气污染物排放限值  单位：mg/m</w:t>
            </w:r>
            <w:r>
              <w:rPr>
                <w:rFonts w:ascii="Times New Roman" w:hAnsi="Times New Roman" w:eastAsia="宋体" w:cs="Times New Roman"/>
                <w:b/>
                <w:color w:val="000000" w:themeColor="text1"/>
                <w:sz w:val="24"/>
                <w:vertAlign w:val="superscript"/>
                <w14:textFill>
                  <w14:solidFill>
                    <w14:schemeClr w14:val="tx1"/>
                  </w14:solidFill>
                </w14:textFill>
              </w:rPr>
              <w:t>3</w:t>
            </w:r>
            <w:r>
              <w:rPr>
                <w:rFonts w:ascii="Times New Roman" w:hAnsi="Times New Roman" w:eastAsia="宋体" w:cs="Times New Roman"/>
                <w:b/>
                <w:color w:val="000000" w:themeColor="text1"/>
                <w:sz w:val="24"/>
                <w14:textFill>
                  <w14:solidFill>
                    <w14:schemeClr w14:val="tx1"/>
                  </w14:solidFill>
                </w14:textFill>
              </w:rPr>
              <w:t>（二噁英类、烟气黑度除外）</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99"/>
              <w:gridCol w:w="3895"/>
              <w:gridCol w:w="25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2442"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控制项目</w:t>
                  </w:r>
                </w:p>
              </w:tc>
              <w:tc>
                <w:tcPr>
                  <w:tcW w:w="1618"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烟尘</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二氧化硫</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氮氧化物（以NO</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计）</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一氧化碳</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氯化氢</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汞</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二噁英类（ng-TEQ/m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烟气黑度（林格曼黑度，级）</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炉膛温度</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40"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p>
              </w:tc>
              <w:tc>
                <w:tcPr>
                  <w:tcW w:w="244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排气筒高度</w:t>
                  </w:r>
                </w:p>
              </w:tc>
              <w:tc>
                <w:tcPr>
                  <w:tcW w:w="161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15m</w:t>
                  </w:r>
                </w:p>
              </w:tc>
            </w:tr>
          </w:tbl>
          <w:p>
            <w:pPr>
              <w:pStyle w:val="86"/>
              <w:spacing w:before="120" w:beforeLines="5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w:t>
            </w:r>
            <w:r>
              <w:rPr>
                <w:rFonts w:hint="eastAsia" w:ascii="Times New Roman" w:hAnsi="Times New Roman" w:eastAsia="宋体" w:cs="Times New Roman"/>
                <w:b/>
                <w:color w:val="000000" w:themeColor="text1"/>
                <w:sz w:val="24"/>
                <w:lang w:val="en-US"/>
                <w14:textFill>
                  <w14:solidFill>
                    <w14:schemeClr w14:val="tx1"/>
                  </w14:solidFill>
                </w14:textFill>
              </w:rPr>
              <w:t xml:space="preserve">3-7  </w:t>
            </w:r>
            <w:r>
              <w:rPr>
                <w:rFonts w:ascii="Times New Roman" w:hAnsi="Times New Roman" w:eastAsia="宋体" w:cs="Times New Roman"/>
                <w:b/>
                <w:color w:val="000000" w:themeColor="text1"/>
                <w:sz w:val="24"/>
                <w14:textFill>
                  <w14:solidFill>
                    <w14:schemeClr w14:val="tx1"/>
                  </w14:solidFill>
                </w14:textFill>
              </w:rPr>
              <w:t>饮食业油烟排放标准</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65"/>
              <w:gridCol w:w="1775"/>
              <w:gridCol w:w="1566"/>
              <w:gridCol w:w="9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饮食业单位规模</w:t>
                  </w:r>
                </w:p>
              </w:tc>
              <w:tc>
                <w:tcPr>
                  <w:tcW w:w="1113" w:type="pct"/>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小型</w:t>
                  </w:r>
                </w:p>
              </w:tc>
              <w:tc>
                <w:tcPr>
                  <w:tcW w:w="98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中型</w:t>
                  </w:r>
                </w:p>
              </w:tc>
              <w:tc>
                <w:tcPr>
                  <w:tcW w:w="607"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基准灶头数</w:t>
                  </w:r>
                </w:p>
              </w:tc>
              <w:tc>
                <w:tcPr>
                  <w:tcW w:w="1113" w:type="pct"/>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≥1，＜3</w:t>
                  </w:r>
                </w:p>
              </w:tc>
              <w:tc>
                <w:tcPr>
                  <w:tcW w:w="98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≥3，＜6</w:t>
                  </w:r>
                </w:p>
              </w:tc>
              <w:tc>
                <w:tcPr>
                  <w:tcW w:w="607"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对应灶头总功率（10</w:t>
                  </w:r>
                  <w:r>
                    <w:rPr>
                      <w:rFonts w:ascii="Times New Roman" w:hAnsi="Times New Roman" w:eastAsia="宋体" w:cs="Times New Roman"/>
                      <w:color w:val="000000" w:themeColor="text1"/>
                      <w:szCs w:val="21"/>
                      <w:vertAlign w:val="superscript"/>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J/h）</w:t>
                  </w:r>
                </w:p>
              </w:tc>
              <w:tc>
                <w:tcPr>
                  <w:tcW w:w="1113" w:type="pct"/>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1.67，＜5.00</w:t>
                  </w:r>
                </w:p>
              </w:tc>
              <w:tc>
                <w:tcPr>
                  <w:tcW w:w="98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≥5.00，＜10</w:t>
                  </w:r>
                </w:p>
              </w:tc>
              <w:tc>
                <w:tcPr>
                  <w:tcW w:w="607"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对应排气罩灶面总投影面积（m</w:t>
                  </w:r>
                  <w:r>
                    <w:rPr>
                      <w:rFonts w:ascii="Times New Roman" w:hAnsi="Times New Roman" w:eastAsia="宋体" w:cs="Times New Roman"/>
                      <w:color w:val="000000" w:themeColor="text1"/>
                      <w:szCs w:val="21"/>
                      <w:vertAlign w:val="super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w:t>
                  </w:r>
                </w:p>
              </w:tc>
              <w:tc>
                <w:tcPr>
                  <w:tcW w:w="1113" w:type="pct"/>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≥1.1，＜3.3</w:t>
                  </w:r>
                </w:p>
              </w:tc>
              <w:tc>
                <w:tcPr>
                  <w:tcW w:w="98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≥3.3，＜6.6</w:t>
                  </w:r>
                </w:p>
              </w:tc>
              <w:tc>
                <w:tcPr>
                  <w:tcW w:w="607"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油烟最高允许排放浓度</w:t>
                  </w:r>
                </w:p>
              </w:tc>
              <w:tc>
                <w:tcPr>
                  <w:tcW w:w="2702" w:type="pct"/>
                  <w:gridSpan w:val="3"/>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2.0（mg/m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净化设施最低去除率％</w:t>
                  </w:r>
                </w:p>
              </w:tc>
              <w:tc>
                <w:tcPr>
                  <w:tcW w:w="1113" w:type="pct"/>
                  <w:vAlign w:val="center"/>
                </w:tcPr>
                <w:p>
                  <w:pPr>
                    <w:pStyle w:val="86"/>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60</w:t>
                  </w:r>
                </w:p>
              </w:tc>
              <w:tc>
                <w:tcPr>
                  <w:tcW w:w="982"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c>
                <w:tcPr>
                  <w:tcW w:w="607" w:type="pct"/>
                  <w:vAlign w:val="center"/>
                </w:tcPr>
                <w:p>
                  <w:pPr>
                    <w:pStyle w:val="8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85</w:t>
                  </w:r>
                </w:p>
              </w:tc>
            </w:tr>
          </w:tbl>
          <w:p>
            <w:pPr>
              <w:pStyle w:val="35"/>
              <w:widowControl/>
              <w:spacing w:before="120" w:beforeLines="50"/>
              <w:ind w:firstLine="0" w:firstLineChars="0"/>
              <w:jc w:val="left"/>
              <w:rPr>
                <w:rFonts w:ascii="Times New Roman" w:hAnsi="Times New Roman" w:eastAsia="宋体" w:cs="Times New Roman"/>
                <w:snapToGrid w:val="0"/>
                <w:color w:val="000000" w:themeColor="text1"/>
                <w:kern w:val="2"/>
                <w:szCs w:val="22"/>
                <w14:textFill>
                  <w14:solidFill>
                    <w14:schemeClr w14:val="tx1"/>
                  </w14:solidFill>
                </w14:textFill>
              </w:rPr>
            </w:pPr>
            <w:r>
              <w:rPr>
                <w:rFonts w:ascii="Times New Roman" w:hAnsi="Times New Roman" w:eastAsia="宋体" w:cs="Times New Roman"/>
                <w:snapToGrid w:val="0"/>
                <w:color w:val="000000" w:themeColor="text1"/>
                <w:kern w:val="2"/>
                <w:szCs w:val="22"/>
                <w14:textFill>
                  <w14:solidFill>
                    <w14:schemeClr w14:val="tx1"/>
                  </w14:solidFill>
                </w14:textFill>
              </w:rPr>
              <w:t>2、废水</w:t>
            </w:r>
          </w:p>
          <w:p>
            <w:pPr>
              <w:pStyle w:val="117"/>
              <w:ind w:firstLineChars="200"/>
              <w:jc w:val="both"/>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项目单位内设置一解剖室，生产废水经化粪池+消毒池杀菌预处理，达到唐江镇污水处理厂接管标准后，排入唐江镇污水处理厂作深度处理，唐江镇污水处理厂执行《城镇污水处理厂污染物排放标准》（GB18918-2002）一级A标准，经深度处理后的尾水排入上犹江。</w:t>
            </w:r>
          </w:p>
          <w:p>
            <w:pPr>
              <w:pStyle w:val="127"/>
              <w:spacing w:before="120" w:beforeLines="50" w:line="240" w:lineRule="auto"/>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 xml:space="preserve">3-8  </w:t>
            </w:r>
            <w:r>
              <w:rPr>
                <w:color w:val="000000" w:themeColor="text1"/>
                <w:sz w:val="24"/>
                <w:szCs w:val="24"/>
                <w14:textFill>
                  <w14:solidFill>
                    <w14:schemeClr w14:val="tx1"/>
                  </w14:solidFill>
                </w14:textFill>
              </w:rPr>
              <w:t>水污染物</w:t>
            </w:r>
            <w:r>
              <w:rPr>
                <w:rFonts w:hint="eastAsia"/>
                <w:color w:val="000000" w:themeColor="text1"/>
                <w:sz w:val="24"/>
                <w:szCs w:val="24"/>
                <w14:textFill>
                  <w14:solidFill>
                    <w14:schemeClr w14:val="tx1"/>
                  </w14:solidFill>
                </w14:textFill>
              </w:rPr>
              <w:t>排放</w:t>
            </w:r>
            <w:r>
              <w:rPr>
                <w:color w:val="000000" w:themeColor="text1"/>
                <w:sz w:val="24"/>
                <w:szCs w:val="24"/>
                <w14:textFill>
                  <w14:solidFill>
                    <w14:schemeClr w14:val="tx1"/>
                  </w14:solidFill>
                </w14:textFill>
              </w:rPr>
              <w:t xml:space="preserve">执行标准  </w:t>
            </w:r>
            <w:r>
              <w:rPr>
                <w:bCs/>
                <w:color w:val="000000" w:themeColor="text1"/>
                <w:sz w:val="24"/>
                <w:szCs w:val="24"/>
                <w14:textFill>
                  <w14:solidFill>
                    <w14:schemeClr w14:val="tx1"/>
                  </w14:solidFill>
                </w14:textFill>
              </w:rPr>
              <w:t>单位：mg/L，pH除外</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591"/>
              <w:gridCol w:w="683"/>
              <w:gridCol w:w="741"/>
              <w:gridCol w:w="822"/>
              <w:gridCol w:w="647"/>
              <w:gridCol w:w="615"/>
              <w:gridCol w:w="615"/>
              <w:gridCol w:w="615"/>
              <w:gridCol w:w="6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指标</w:t>
                  </w:r>
                </w:p>
              </w:tc>
              <w:tc>
                <w:tcPr>
                  <w:tcW w:w="37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pH</w:t>
                  </w:r>
                </w:p>
              </w:tc>
              <w:tc>
                <w:tcPr>
                  <w:tcW w:w="42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466"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516"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NH</w:t>
                  </w:r>
                  <w:r>
                    <w:rPr>
                      <w:b/>
                      <w:bCs/>
                      <w:color w:val="000000" w:themeColor="text1"/>
                      <w:szCs w:val="21"/>
                      <w:vertAlign w:val="subscript"/>
                      <w14:textFill>
                        <w14:solidFill>
                          <w14:schemeClr w14:val="tx1"/>
                        </w14:solidFill>
                      </w14:textFill>
                    </w:rPr>
                    <w:t>3</w:t>
                  </w:r>
                  <w:r>
                    <w:rPr>
                      <w:b/>
                      <w:bCs/>
                      <w:color w:val="000000" w:themeColor="text1"/>
                      <w:szCs w:val="21"/>
                      <w14:textFill>
                        <w14:solidFill>
                          <w14:schemeClr w14:val="tx1"/>
                        </w14:solidFill>
                      </w14:textFill>
                    </w:rPr>
                    <w:t>-N</w:t>
                  </w:r>
                </w:p>
              </w:tc>
              <w:tc>
                <w:tcPr>
                  <w:tcW w:w="40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S</w:t>
                  </w:r>
                  <w:r>
                    <w:rPr>
                      <w:b/>
                      <w:bCs/>
                      <w:color w:val="000000" w:themeColor="text1"/>
                      <w:szCs w:val="21"/>
                      <w14:textFill>
                        <w14:solidFill>
                          <w14:schemeClr w14:val="tx1"/>
                        </w14:solidFill>
                      </w14:textFill>
                    </w:rPr>
                    <w:t>S</w:t>
                  </w:r>
                </w:p>
              </w:tc>
              <w:tc>
                <w:tcPr>
                  <w:tcW w:w="38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TN</w:t>
                  </w:r>
                </w:p>
              </w:tc>
              <w:tc>
                <w:tcPr>
                  <w:tcW w:w="38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TP</w:t>
                  </w:r>
                </w:p>
              </w:tc>
              <w:tc>
                <w:tcPr>
                  <w:tcW w:w="38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动植物油</w:t>
                  </w:r>
                </w:p>
              </w:tc>
              <w:tc>
                <w:tcPr>
                  <w:tcW w:w="38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唐江镇污水处理厂接管标准</w:t>
                  </w:r>
                </w:p>
              </w:tc>
              <w:tc>
                <w:tcPr>
                  <w:tcW w:w="372" w:type="pc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w:t>
                  </w:r>
                </w:p>
              </w:tc>
              <w:tc>
                <w:tcPr>
                  <w:tcW w:w="42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240</w:t>
                  </w:r>
                </w:p>
              </w:tc>
              <w:tc>
                <w:tcPr>
                  <w:tcW w:w="46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240</w:t>
                  </w:r>
                </w:p>
              </w:tc>
              <w:tc>
                <w:tcPr>
                  <w:tcW w:w="51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w:t>
                  </w:r>
                </w:p>
              </w:tc>
              <w:tc>
                <w:tcPr>
                  <w:tcW w:w="40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420</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60</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8.4</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68" w:type="pct"/>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《城镇污水处理厂污染物排放标准》（GB18918-2002）一级A标准</w:t>
                  </w:r>
                </w:p>
              </w:tc>
              <w:tc>
                <w:tcPr>
                  <w:tcW w:w="372" w:type="pc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w:t>
                  </w:r>
                </w:p>
              </w:tc>
              <w:tc>
                <w:tcPr>
                  <w:tcW w:w="428" w:type="pct"/>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w:t>
                  </w:r>
                  <w:r>
                    <w:rPr>
                      <w:bCs/>
                      <w:color w:val="000000" w:themeColor="text1"/>
                      <w:szCs w:val="21"/>
                      <w14:textFill>
                        <w14:solidFill>
                          <w14:schemeClr w14:val="tx1"/>
                        </w14:solidFill>
                      </w14:textFill>
                    </w:rPr>
                    <w:t>50</w:t>
                  </w:r>
                </w:p>
              </w:tc>
              <w:tc>
                <w:tcPr>
                  <w:tcW w:w="466" w:type="pct"/>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0</w:t>
                  </w:r>
                </w:p>
              </w:tc>
              <w:tc>
                <w:tcPr>
                  <w:tcW w:w="516" w:type="pct"/>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w:t>
                  </w:r>
                  <w:r>
                    <w:rPr>
                      <w:rFonts w:hint="eastAsia"/>
                      <w:bCs/>
                      <w:color w:val="000000" w:themeColor="text1"/>
                      <w:szCs w:val="21"/>
                      <w14:textFill>
                        <w14:solidFill>
                          <w14:schemeClr w14:val="tx1"/>
                        </w14:solidFill>
                      </w14:textFill>
                    </w:rPr>
                    <w:t>5</w:t>
                  </w:r>
                </w:p>
              </w:tc>
              <w:tc>
                <w:tcPr>
                  <w:tcW w:w="406" w:type="pct"/>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w:t>
                  </w:r>
                  <w:r>
                    <w:rPr>
                      <w:rFonts w:hint="eastAsia"/>
                      <w:bCs/>
                      <w:color w:val="000000" w:themeColor="text1"/>
                      <w:szCs w:val="21"/>
                      <w14:textFill>
                        <w14:solidFill>
                          <w14:schemeClr w14:val="tx1"/>
                        </w14:solidFill>
                      </w14:textFill>
                    </w:rPr>
                    <w:t>10</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0.5</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tc>
              <w:tc>
                <w:tcPr>
                  <w:tcW w:w="38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0.5</w:t>
                  </w:r>
                </w:p>
              </w:tc>
            </w:tr>
          </w:tbl>
          <w:p>
            <w:pPr>
              <w:pStyle w:val="35"/>
              <w:widowControl/>
              <w:adjustRightInd/>
              <w:snapToGrid/>
              <w:ind w:firstLine="0" w:firstLineChars="0"/>
              <w:jc w:val="left"/>
              <w:rPr>
                <w:rFonts w:ascii="Times New Roman" w:hAnsi="Times New Roman" w:eastAsia="宋体" w:cs="Times New Roman"/>
                <w:snapToGrid w:val="0"/>
                <w:color w:val="000000" w:themeColor="text1"/>
                <w:kern w:val="2"/>
                <w:szCs w:val="22"/>
                <w14:textFill>
                  <w14:solidFill>
                    <w14:schemeClr w14:val="tx1"/>
                  </w14:solidFill>
                </w14:textFill>
              </w:rPr>
            </w:pPr>
            <w:r>
              <w:rPr>
                <w:rFonts w:ascii="Times New Roman" w:hAnsi="Times New Roman" w:eastAsia="宋体" w:cs="Times New Roman"/>
                <w:snapToGrid w:val="0"/>
                <w:color w:val="000000" w:themeColor="text1"/>
                <w:kern w:val="2"/>
                <w:szCs w:val="22"/>
                <w14:textFill>
                  <w14:solidFill>
                    <w14:schemeClr w14:val="tx1"/>
                  </w14:solidFill>
                </w14:textFill>
              </w:rPr>
              <w:t>3、噪声</w:t>
            </w:r>
          </w:p>
          <w:p>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项目施工期已过，</w:t>
            </w:r>
            <w:r>
              <w:rPr>
                <w:color w:val="000000" w:themeColor="text1"/>
                <w:sz w:val="24"/>
                <w14:textFill>
                  <w14:solidFill>
                    <w14:schemeClr w14:val="tx1"/>
                  </w14:solidFill>
                </w14:textFill>
              </w:rPr>
              <w:t>营运期厂界噪声执行《工业企业厂界环境噪声排放标准》</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（GB12348-2008）</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具体见表3-9。</w:t>
            </w:r>
          </w:p>
          <w:p>
            <w:pPr>
              <w:pStyle w:val="12"/>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3-9</w:t>
            </w:r>
            <w:r>
              <w:rPr>
                <w:b/>
                <w:color w:val="000000" w:themeColor="text1"/>
                <w14:textFill>
                  <w14:solidFill>
                    <w14:schemeClr w14:val="tx1"/>
                  </w14:solidFill>
                </w14:textFill>
              </w:rPr>
              <w:t xml:space="preserve"> 噪声排放标准单位：dB(A)</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3"/>
              <w:gridCol w:w="2383"/>
              <w:gridCol w:w="2395"/>
              <w:gridCol w:w="20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2242" w:type="pct"/>
                  <w:gridSpan w:val="2"/>
                  <w:vAlign w:val="center"/>
                </w:tcPr>
                <w:p>
                  <w:pPr>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类别</w:t>
                  </w:r>
                </w:p>
              </w:tc>
              <w:tc>
                <w:tcPr>
                  <w:tcW w:w="1502" w:type="pct"/>
                  <w:vAlign w:val="center"/>
                </w:tcPr>
                <w:p>
                  <w:pPr>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昼间</w:t>
                  </w:r>
                </w:p>
              </w:tc>
              <w:tc>
                <w:tcPr>
                  <w:tcW w:w="1256" w:type="pct"/>
                  <w:vAlign w:val="center"/>
                </w:tcPr>
                <w:p>
                  <w:pPr>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8" w:type="pct"/>
                  <w:vAlign w:val="center"/>
                </w:tcPr>
                <w:p>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营运期</w:t>
                  </w:r>
                </w:p>
              </w:tc>
              <w:tc>
                <w:tcPr>
                  <w:tcW w:w="1494" w:type="pct"/>
                  <w:vAlign w:val="center"/>
                </w:tcPr>
                <w:p>
                  <w:pPr>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w:t>
                  </w:r>
                  <w:r>
                    <w:rPr>
                      <w:snapToGrid w:val="0"/>
                      <w:color w:val="000000" w:themeColor="text1"/>
                      <w:szCs w:val="21"/>
                      <w14:textFill>
                        <w14:solidFill>
                          <w14:schemeClr w14:val="tx1"/>
                        </w14:solidFill>
                      </w14:textFill>
                    </w:rPr>
                    <w:t>类</w:t>
                  </w:r>
                </w:p>
              </w:tc>
              <w:tc>
                <w:tcPr>
                  <w:tcW w:w="1502" w:type="pct"/>
                  <w:vAlign w:val="center"/>
                </w:tcPr>
                <w:p>
                  <w:pPr>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60</w:t>
                  </w:r>
                </w:p>
              </w:tc>
              <w:tc>
                <w:tcPr>
                  <w:tcW w:w="1256" w:type="pct"/>
                  <w:vAlign w:val="center"/>
                </w:tcPr>
                <w:p>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5</w:t>
                  </w:r>
                  <w:r>
                    <w:rPr>
                      <w:rFonts w:hint="eastAsia"/>
                      <w:snapToGrid w:val="0"/>
                      <w:color w:val="000000" w:themeColor="text1"/>
                      <w:szCs w:val="21"/>
                      <w14:textFill>
                        <w14:solidFill>
                          <w14:schemeClr w14:val="tx1"/>
                        </w14:solidFill>
                      </w14:textFill>
                    </w:rPr>
                    <w:t>0</w:t>
                  </w:r>
                </w:p>
              </w:tc>
            </w:tr>
          </w:tbl>
          <w:p>
            <w:pPr>
              <w:pStyle w:val="35"/>
              <w:widowControl/>
              <w:spacing w:before="120" w:beforeLines="50"/>
              <w:ind w:firstLine="0" w:firstLineChars="0"/>
              <w:jc w:val="left"/>
              <w:rPr>
                <w:rFonts w:ascii="Times New Roman" w:hAnsi="Times New Roman" w:eastAsia="宋体" w:cs="Times New Roman"/>
                <w:snapToGrid w:val="0"/>
                <w:color w:val="000000" w:themeColor="text1"/>
                <w:kern w:val="2"/>
                <w:szCs w:val="22"/>
                <w14:textFill>
                  <w14:solidFill>
                    <w14:schemeClr w14:val="tx1"/>
                  </w14:solidFill>
                </w14:textFill>
              </w:rPr>
            </w:pPr>
            <w:r>
              <w:rPr>
                <w:rFonts w:ascii="Times New Roman" w:hAnsi="Times New Roman" w:eastAsia="宋体" w:cs="Times New Roman"/>
                <w:snapToGrid w:val="0"/>
                <w:color w:val="000000" w:themeColor="text1"/>
                <w:kern w:val="2"/>
                <w:szCs w:val="22"/>
                <w14:textFill>
                  <w14:solidFill>
                    <w14:schemeClr w14:val="tx1"/>
                  </w14:solidFill>
                </w14:textFill>
              </w:rPr>
              <w:t>4、固体废弃物</w:t>
            </w:r>
          </w:p>
          <w:p>
            <w:pPr>
              <w:adjustRightInd w:val="0"/>
              <w:snapToGrid w:val="0"/>
              <w:spacing w:line="360" w:lineRule="auto"/>
              <w:ind w:firstLine="480" w:firstLineChars="200"/>
              <w:jc w:val="left"/>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一般固废处置执行</w:t>
            </w:r>
            <w:r>
              <w:rPr>
                <w:rFonts w:hint="eastAsia"/>
                <w:color w:val="000000" w:themeColor="text1"/>
                <w:sz w:val="24"/>
                <w14:textFill>
                  <w14:solidFill>
                    <w14:schemeClr w14:val="tx1"/>
                  </w14:solidFill>
                </w14:textFill>
              </w:rPr>
              <w:t>《一般工业固体废物贮存和填埋污染控制标准》（GB 18599-2020）的相关规定；</w:t>
            </w:r>
            <w:r>
              <w:rPr>
                <w:color w:val="000000" w:themeColor="text1"/>
                <w:sz w:val="24"/>
                <w14:textFill>
                  <w14:solidFill>
                    <w14:schemeClr w14:val="tx1"/>
                  </w14:solidFill>
                </w14:textFill>
              </w:rPr>
              <w:t>危险废物执行《危险废物贮存污染控制标准》（GB18597-2001）及其修改单中的相关规定。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1"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8190" w:type="dxa"/>
            <w:vAlign w:val="center"/>
          </w:tcPr>
          <w:p>
            <w:pPr>
              <w:pStyle w:val="86"/>
              <w:spacing w:line="360" w:lineRule="auto"/>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1、总量控制因子</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根据本项目排污特征确定总量控制因子为：NO</w:t>
            </w:r>
            <w:r>
              <w:rPr>
                <w:rFonts w:ascii="Times New Roman" w:hAnsi="Times New Roman" w:eastAsia="宋体" w:cs="Times New Roman"/>
                <w:color w:val="000000" w:themeColor="text1"/>
                <w:sz w:val="24"/>
                <w:vertAlign w:val="subscript"/>
                <w14:textFill>
                  <w14:solidFill>
                    <w14:schemeClr w14:val="tx1"/>
                  </w14:solidFill>
                </w14:textFill>
              </w:rPr>
              <w:t>x</w:t>
            </w:r>
            <w:r>
              <w:rPr>
                <w:rFonts w:ascii="Times New Roman" w:hAnsi="Times New Roman" w:eastAsia="宋体" w:cs="Times New Roman"/>
                <w:color w:val="000000" w:themeColor="text1"/>
                <w:sz w:val="24"/>
                <w14:textFill>
                  <w14:solidFill>
                    <w14:schemeClr w14:val="tx1"/>
                  </w14:solidFill>
                </w14:textFill>
              </w:rPr>
              <w:t>。</w:t>
            </w:r>
          </w:p>
          <w:p>
            <w:pPr>
              <w:pStyle w:val="86"/>
              <w:spacing w:line="360" w:lineRule="auto"/>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2、污染物总量控制指标</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本项目建议总量控制指标的量见下表</w:t>
            </w:r>
            <w:r>
              <w:rPr>
                <w:rFonts w:hint="eastAsia" w:ascii="Times New Roman" w:hAnsi="Times New Roman" w:eastAsia="宋体" w:cs="Times New Roman"/>
                <w:color w:val="000000" w:themeColor="text1"/>
                <w:sz w:val="24"/>
                <w:lang w:val="en-US"/>
                <w14:textFill>
                  <w14:solidFill>
                    <w14:schemeClr w14:val="tx1"/>
                  </w14:solidFill>
                </w14:textFill>
              </w:rPr>
              <w:t>3-9</w:t>
            </w:r>
            <w:r>
              <w:rPr>
                <w:rFonts w:ascii="Times New Roman" w:hAnsi="Times New Roman" w:eastAsia="宋体" w:cs="Times New Roman"/>
                <w:color w:val="000000" w:themeColor="text1"/>
                <w:sz w:val="24"/>
                <w14:textFill>
                  <w14:solidFill>
                    <w14:schemeClr w14:val="tx1"/>
                  </w14:solidFill>
                </w14:textFill>
              </w:rPr>
              <w:t>。</w:t>
            </w:r>
          </w:p>
          <w:p>
            <w:pPr>
              <w:pStyle w:val="86"/>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w:t>
            </w:r>
            <w:r>
              <w:rPr>
                <w:rFonts w:hint="eastAsia" w:ascii="Times New Roman" w:hAnsi="Times New Roman" w:eastAsia="宋体" w:cs="Times New Roman"/>
                <w:b/>
                <w:color w:val="000000" w:themeColor="text1"/>
                <w:sz w:val="24"/>
                <w:lang w:val="en-US"/>
                <w14:textFill>
                  <w14:solidFill>
                    <w14:schemeClr w14:val="tx1"/>
                  </w14:solidFill>
                </w14:textFill>
              </w:rPr>
              <w:t>3-9</w:t>
            </w:r>
            <w:r>
              <w:rPr>
                <w:rFonts w:ascii="Times New Roman" w:hAnsi="Times New Roman" w:eastAsia="宋体" w:cs="Times New Roman"/>
                <w:b/>
                <w:color w:val="000000" w:themeColor="text1"/>
                <w:sz w:val="24"/>
                <w14:textFill>
                  <w14:solidFill>
                    <w14:schemeClr w14:val="tx1"/>
                  </w14:solidFill>
                </w14:textFill>
              </w:rPr>
              <w:t xml:space="preserve">  总量控制指标建议</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883"/>
              <w:gridCol w:w="1336"/>
              <w:gridCol w:w="1338"/>
              <w:gridCol w:w="1338"/>
              <w:gridCol w:w="1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7"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类别</w:t>
                  </w:r>
                </w:p>
              </w:tc>
              <w:tc>
                <w:tcPr>
                  <w:tcW w:w="1181"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总量控制指标名称</w:t>
                  </w:r>
                </w:p>
              </w:tc>
              <w:tc>
                <w:tcPr>
                  <w:tcW w:w="838"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产生量（t/a）</w:t>
                  </w:r>
                </w:p>
              </w:tc>
              <w:tc>
                <w:tcPr>
                  <w:tcW w:w="839"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削减量（t/a）</w:t>
                  </w:r>
                </w:p>
              </w:tc>
              <w:tc>
                <w:tcPr>
                  <w:tcW w:w="839"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排入自然环境的量（t/a）</w:t>
                  </w:r>
                </w:p>
              </w:tc>
              <w:tc>
                <w:tcPr>
                  <w:tcW w:w="837" w:type="pct"/>
                  <w:vAlign w:val="center"/>
                </w:tcPr>
                <w:p>
                  <w:pPr>
                    <w:pStyle w:val="86"/>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建议申请量（t/a）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18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83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0.107</w:t>
                  </w:r>
                </w:p>
              </w:tc>
              <w:tc>
                <w:tcPr>
                  <w:tcW w:w="8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0.053</w:t>
                  </w:r>
                </w:p>
              </w:tc>
              <w:tc>
                <w:tcPr>
                  <w:tcW w:w="839" w:type="pct"/>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c>
                <w:tcPr>
                  <w:tcW w:w="837" w:type="pct"/>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r>
          </w:tbl>
          <w:p>
            <w:pPr>
              <w:adjustRightInd w:val="0"/>
              <w:spacing w:line="360" w:lineRule="auto"/>
              <w:jc w:val="left"/>
              <w:rPr>
                <w:color w:val="000000" w:themeColor="text1"/>
                <w:kern w:val="0"/>
                <w:szCs w:val="21"/>
                <w14:textFill>
                  <w14:solidFill>
                    <w14:schemeClr w14:val="tx1"/>
                  </w14:solidFill>
                </w14:textFill>
              </w:rPr>
            </w:pPr>
          </w:p>
        </w:tc>
      </w:tr>
    </w:tbl>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eastAsia="黑体"/>
          <w:color w:val="000000" w:themeColor="text1"/>
          <w:sz w:val="36"/>
          <w:szCs w:val="36"/>
          <w14:textFill>
            <w14:solidFill>
              <w14:schemeClr w14:val="tx1"/>
            </w14:solidFill>
          </w14:textFill>
        </w:rPr>
        <w:br w:type="page"/>
      </w:r>
      <w:r>
        <w:rPr>
          <w:rFonts w:ascii="Times New Roman" w:hAnsi="Times New Roman" w:eastAsia="黑体"/>
          <w:color w:val="000000" w:themeColor="text1"/>
          <w:sz w:val="30"/>
          <w:szCs w:val="30"/>
          <w14:textFill>
            <w14:solidFill>
              <w14:schemeClr w14:val="tx1"/>
            </w14:solidFill>
          </w14:textFill>
        </w:rPr>
        <w:t>四、主要环境影响和保护措施</w:t>
      </w: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4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553"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24"/>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24"/>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24"/>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24"/>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428" w:type="dxa"/>
            <w:vAlign w:val="center"/>
          </w:tcPr>
          <w:p>
            <w:pPr>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kern w:val="21"/>
                <w:sz w:val="24"/>
                <w14:textFill>
                  <w14:solidFill>
                    <w14:schemeClr w14:val="tx1"/>
                  </w14:solidFill>
                </w14:textFill>
              </w:rPr>
              <w:t>施工期已结束，建设单位已在施工期采取了多项环境保护措施，从现场踏勘情况来看，厂区内路面已硬化，绿化条件较好，无裸露区域，项目的建设对本地区及周围的生态环境造成的影响不大。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53"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428" w:type="dxa"/>
            <w:vAlign w:val="center"/>
          </w:tcPr>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1、废</w:t>
            </w:r>
            <w:r>
              <w:rPr>
                <w:rFonts w:hint="eastAsia"/>
                <w:b/>
                <w:color w:val="000000" w:themeColor="text1"/>
                <w:sz w:val="24"/>
                <w14:textFill>
                  <w14:solidFill>
                    <w14:schemeClr w14:val="tx1"/>
                  </w14:solidFill>
                </w14:textFill>
              </w:rPr>
              <w:t>水</w:t>
            </w:r>
          </w:p>
          <w:p>
            <w:pPr>
              <w:pStyle w:val="86"/>
              <w:tabs>
                <w:tab w:val="left" w:pos="1190"/>
              </w:tabs>
              <w:spacing w:line="360" w:lineRule="auto"/>
              <w:ind w:firstLine="480" w:firstLineChars="200"/>
              <w:jc w:val="left"/>
              <w:rPr>
                <w:rFonts w:ascii="Times New Roman" w:hAnsi="Times New Roman" w:eastAsia="宋体" w:cs="Times New Roman"/>
                <w:color w:val="000000" w:themeColor="text1"/>
                <w:sz w:val="24"/>
                <w:lang w:val="en-US"/>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val="en-US"/>
                <w14:textFill>
                  <w14:solidFill>
                    <w14:schemeClr w14:val="tx1"/>
                  </w14:solidFill>
                </w14:textFill>
              </w:rPr>
              <w:t>废水产排情况分析</w:t>
            </w:r>
          </w:p>
          <w:p>
            <w:pPr>
              <w:pStyle w:val="86"/>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本项目的生产废水主要包括遗体清洗废水、火化间冲洗废水、解剖废水</w:t>
            </w:r>
            <w:r>
              <w:rPr>
                <w:rFonts w:hint="eastAsia" w:ascii="Times New Roman" w:hAnsi="Times New Roman" w:eastAsia="宋体" w:cs="Times New Roman"/>
                <w:color w:val="000000" w:themeColor="text1"/>
                <w:sz w:val="24"/>
                <w14:textFill>
                  <w14:solidFill>
                    <w14:schemeClr w14:val="tx1"/>
                  </w14:solidFill>
                </w14:textFill>
              </w:rPr>
              <w:t>、脱硫喷淋用水、</w:t>
            </w:r>
            <w:r>
              <w:rPr>
                <w:rFonts w:hint="eastAsia" w:ascii="Times New Roman" w:hAnsi="Times New Roman" w:eastAsia="宋体" w:cs="Times New Roman"/>
                <w:color w:val="000000" w:themeColor="text1"/>
                <w:sz w:val="24"/>
                <w:lang w:val="en-US"/>
                <w14:textFill>
                  <w14:solidFill>
                    <w14:schemeClr w14:val="tx1"/>
                  </w14:solidFill>
                </w14:textFill>
              </w:rPr>
              <w:t>绿化用水</w:t>
            </w:r>
            <w:r>
              <w:rPr>
                <w:rFonts w:ascii="Times New Roman" w:hAnsi="Times New Roman" w:eastAsia="宋体" w:cs="Times New Roman"/>
                <w:color w:val="000000" w:themeColor="text1"/>
                <w:sz w:val="24"/>
                <w14:textFill>
                  <w14:solidFill>
                    <w14:schemeClr w14:val="tx1"/>
                  </w14:solidFill>
                </w14:textFill>
              </w:rPr>
              <w:t>。</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①遗体清洗</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遗体洗清废水用水量按 0.25t/具进行计算，本项目设计全年火化遗体3200具，一般遗体只会毛巾擦洗不会清洗，只有涉及公安局刑事案件遗体需在解剖室进行清洗，按需要清洗的遗体每年100具，则遗体清洗用水新水量为25t/a，污水产生系数为0.8，则废水产生量为20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②火化车间冲洗</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火化车间冲洗用水新水量约为2.25t/d（</w:t>
            </w:r>
            <w:r>
              <w:rPr>
                <w:color w:val="000000" w:themeColor="text1"/>
                <w:sz w:val="24"/>
                <w14:textFill>
                  <w14:solidFill>
                    <w14:schemeClr w14:val="tx1"/>
                  </w14:solidFill>
                </w14:textFill>
              </w:rPr>
              <w:t>742.5</w:t>
            </w:r>
            <w:r>
              <w:rPr>
                <w:rFonts w:hint="eastAsia"/>
                <w:color w:val="000000" w:themeColor="text1"/>
                <w:sz w:val="24"/>
                <w14:textFill>
                  <w14:solidFill>
                    <w14:schemeClr w14:val="tx1"/>
                  </w14:solidFill>
                </w14:textFill>
              </w:rPr>
              <w:t>t/a），废水产生系数取0.8，则车间冲洗废水产生量约为1.8t/d（</w:t>
            </w:r>
            <w:r>
              <w:rPr>
                <w:color w:val="000000" w:themeColor="text1"/>
                <w:sz w:val="24"/>
                <w14:textFill>
                  <w14:solidFill>
                    <w14:schemeClr w14:val="tx1"/>
                  </w14:solidFill>
                </w14:textFill>
              </w:rPr>
              <w:t>594</w:t>
            </w:r>
            <w:r>
              <w:rPr>
                <w:rFonts w:hint="eastAsia"/>
                <w:color w:val="000000" w:themeColor="text1"/>
                <w:sz w:val="24"/>
                <w14:textFill>
                  <w14:solidFill>
                    <w14:schemeClr w14:val="tx1"/>
                  </w14:solidFill>
                </w14:textFill>
              </w:rPr>
              <w:t>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③解剖</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根据建设单位生产资料估算，该废水年耗新水量约为10t/a，废水产生系数为0.5，则解剖废水产生量约为5t/a。</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④脱硫喷淋用水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废气处理系统需用水进行脱硫喷淋，该过程补充废气处理过程中的耗损水即可，项目共2套废气处理系统，每套处理系统每日需添加新鲜水约0.2t，则脱硫喷淋用水量为180t/a，不产生废水。急冷装置为雾化风冷，无需新鲜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⑤绿化用水</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根据建设单位提供相关资料，项目绿化面积约4200m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，根据《江西省城市生活用水定额》（DB/T 419-2011），绿化浇灌用水按1.3L/m</w:t>
            </w:r>
            <w:r>
              <w:rPr>
                <w:rFonts w:hint="eastAsia"/>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d计，雨天不用浇灌，根据历史气象资料统计，项目所在地年均雨天150天，因此项目绿化浇灌天数约215次/年，项目绿化用水5.46m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1173.9</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/a），绿化用水全部来自于市政给水管网，无废水外排。</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⑥</w:t>
            </w:r>
            <w:r>
              <w:rPr>
                <w:rFonts w:ascii="Times New Roman" w:hAnsi="Times New Roman" w:eastAsia="宋体" w:cs="Times New Roman"/>
                <w:color w:val="000000" w:themeColor="text1"/>
                <w:sz w:val="24"/>
                <w14:textFill>
                  <w14:solidFill>
                    <w14:schemeClr w14:val="tx1"/>
                  </w14:solidFill>
                </w14:textFill>
              </w:rPr>
              <w:t>生活污水</w:t>
            </w:r>
          </w:p>
          <w:p>
            <w:pPr>
              <w:pStyle w:val="100"/>
              <w:spacing w:line="360" w:lineRule="auto"/>
              <w:ind w:firstLine="48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项目员工33人，住宿员工6人。按年工作330天计算，项目非住宿员工生活用水以50L/天•</w:t>
            </w:r>
            <w:r>
              <w:rPr>
                <w:rFonts w:ascii="Times New Roman" w:hAnsi="Times New Roman" w:eastAsia="仿宋" w:cs="Times New Roman"/>
                <w:color w:val="000000" w:themeColor="text1"/>
                <w14:textFill>
                  <w14:solidFill>
                    <w14:schemeClr w14:val="tx1"/>
                  </w14:solidFill>
                </w14:textFill>
              </w:rPr>
              <w:t>人计，</w:t>
            </w:r>
            <w:r>
              <w:rPr>
                <w:rFonts w:ascii="Times New Roman" w:hAnsi="Times New Roman" w:cs="Times New Roman"/>
                <w:color w:val="000000" w:themeColor="text1"/>
                <w14:textFill>
                  <w14:solidFill>
                    <w14:schemeClr w14:val="tx1"/>
                  </w14:solidFill>
                </w14:textFill>
              </w:rPr>
              <w:t>住宿员工生活用水以137L/天•</w:t>
            </w:r>
            <w:r>
              <w:rPr>
                <w:rFonts w:ascii="Times New Roman" w:hAnsi="Times New Roman" w:eastAsia="仿宋" w:cs="Times New Roman"/>
                <w:color w:val="000000" w:themeColor="text1"/>
                <w14:textFill>
                  <w14:solidFill>
                    <w14:schemeClr w14:val="tx1"/>
                  </w14:solidFill>
                </w14:textFill>
              </w:rPr>
              <w:t>人计，</w:t>
            </w:r>
            <w:r>
              <w:rPr>
                <w:rFonts w:ascii="Times New Roman" w:hAnsi="Times New Roman" w:cs="Times New Roman"/>
                <w:color w:val="000000" w:themeColor="text1"/>
                <w14:textFill>
                  <w14:solidFill>
                    <w14:schemeClr w14:val="tx1"/>
                  </w14:solidFill>
                </w14:textFill>
              </w:rPr>
              <w:t>则项目生活用水新水量为2.172t/d（716.76t/a），排放系数取0.8，则生活污水排放量约为1.7376t/d（573.408t/a）。</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项目产生废水主要有解剖废水、冲洗废水、遗体清洗废水、员工生活污水等，成分较为接近医疗废水，主要污染物产生情况表</w:t>
            </w:r>
            <w:r>
              <w:rPr>
                <w:rFonts w:hint="eastAsia" w:ascii="Times New Roman" w:hAnsi="Times New Roman" w:eastAsia="宋体" w:cs="Times New Roman"/>
                <w:color w:val="000000" w:themeColor="text1"/>
                <w:sz w:val="24"/>
                <w:lang w:val="en-US"/>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w:t>
            </w:r>
          </w:p>
          <w:p>
            <w:pPr>
              <w:pStyle w:val="86"/>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w:t>
            </w:r>
            <w:r>
              <w:rPr>
                <w:rFonts w:hint="eastAsia" w:ascii="Times New Roman" w:hAnsi="Times New Roman" w:eastAsia="宋体" w:cs="Times New Roman"/>
                <w:b/>
                <w:color w:val="000000" w:themeColor="text1"/>
                <w:sz w:val="24"/>
                <w:lang w:val="en-US"/>
                <w14:textFill>
                  <w14:solidFill>
                    <w14:schemeClr w14:val="tx1"/>
                  </w14:solidFill>
                </w14:textFill>
              </w:rPr>
              <w:t>4</w:t>
            </w:r>
            <w:r>
              <w:rPr>
                <w:rFonts w:ascii="Times New Roman" w:hAnsi="Times New Roman"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lang w:val="en-US"/>
                <w14:textFill>
                  <w14:solidFill>
                    <w14:schemeClr w14:val="tx1"/>
                  </w14:solidFill>
                </w14:textFill>
              </w:rPr>
              <w:t>1</w:t>
            </w:r>
            <w:r>
              <w:rPr>
                <w:rFonts w:ascii="Times New Roman" w:hAnsi="Times New Roman" w:eastAsia="宋体" w:cs="Times New Roman"/>
                <w:b/>
                <w:color w:val="000000" w:themeColor="text1"/>
                <w:sz w:val="24"/>
                <w14:textFill>
                  <w14:solidFill>
                    <w14:schemeClr w14:val="tx1"/>
                  </w14:solidFill>
                </w14:textFill>
              </w:rPr>
              <w:t xml:space="preserve"> 项目废水产</w:t>
            </w:r>
            <w:r>
              <w:rPr>
                <w:rFonts w:hint="eastAsia" w:ascii="Times New Roman" w:hAnsi="Times New Roman" w:eastAsia="宋体" w:cs="Times New Roman"/>
                <w:b/>
                <w:color w:val="000000" w:themeColor="text1"/>
                <w:sz w:val="24"/>
                <w14:textFill>
                  <w14:solidFill>
                    <w14:schemeClr w14:val="tx1"/>
                  </w14:solidFill>
                </w14:textFill>
              </w:rPr>
              <w:t>生</w:t>
            </w:r>
            <w:r>
              <w:rPr>
                <w:rFonts w:ascii="Times New Roman" w:hAnsi="Times New Roman" w:eastAsia="宋体" w:cs="Times New Roman"/>
                <w:b/>
                <w:color w:val="000000" w:themeColor="text1"/>
                <w:sz w:val="24"/>
                <w14:textFill>
                  <w14:solidFill>
                    <w14:schemeClr w14:val="tx1"/>
                  </w14:solidFill>
                </w14:textFill>
              </w:rPr>
              <w:t>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393"/>
              <w:gridCol w:w="1276"/>
              <w:gridCol w:w="2161"/>
              <w:gridCol w:w="1718"/>
              <w:gridCol w:w="1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trHeight w:val="340" w:hRule="atLeast"/>
                <w:tblHeader/>
                <w:jc w:val="center"/>
              </w:trPr>
              <w:tc>
                <w:tcPr>
                  <w:tcW w:w="848" w:type="pct"/>
                  <w:vMerge w:val="restar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废水类型</w:t>
                  </w:r>
                </w:p>
              </w:tc>
              <w:tc>
                <w:tcPr>
                  <w:tcW w:w="777" w:type="pct"/>
                  <w:vMerge w:val="restar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废水量(t/a)</w:t>
                  </w:r>
                </w:p>
              </w:tc>
              <w:tc>
                <w:tcPr>
                  <w:tcW w:w="1316" w:type="pct"/>
                  <w:vMerge w:val="restar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2059" w:type="pct"/>
                  <w:gridSpan w:val="2"/>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848" w:type="pct"/>
                  <w:vMerge w:val="continue"/>
                  <w:vAlign w:val="center"/>
                </w:tcPr>
                <w:p>
                  <w:pPr>
                    <w:jc w:val="center"/>
                    <w:rPr>
                      <w:b/>
                      <w:bCs/>
                      <w:color w:val="000000" w:themeColor="text1"/>
                      <w:kern w:val="0"/>
                      <w:szCs w:val="21"/>
                      <w14:textFill>
                        <w14:solidFill>
                          <w14:schemeClr w14:val="tx1"/>
                        </w14:solidFill>
                      </w14:textFill>
                    </w:rPr>
                  </w:pPr>
                </w:p>
              </w:tc>
              <w:tc>
                <w:tcPr>
                  <w:tcW w:w="777" w:type="pct"/>
                  <w:vMerge w:val="continue"/>
                  <w:vAlign w:val="center"/>
                </w:tcPr>
                <w:p>
                  <w:pPr>
                    <w:jc w:val="center"/>
                    <w:rPr>
                      <w:b/>
                      <w:bCs/>
                      <w:color w:val="000000" w:themeColor="text1"/>
                      <w:kern w:val="0"/>
                      <w:szCs w:val="21"/>
                      <w14:textFill>
                        <w14:solidFill>
                          <w14:schemeClr w14:val="tx1"/>
                        </w14:solidFill>
                      </w14:textFill>
                    </w:rPr>
                  </w:pPr>
                </w:p>
              </w:tc>
              <w:tc>
                <w:tcPr>
                  <w:tcW w:w="1316" w:type="pct"/>
                  <w:vMerge w:val="continue"/>
                  <w:vAlign w:val="center"/>
                </w:tcPr>
                <w:p>
                  <w:pPr>
                    <w:jc w:val="center"/>
                    <w:rPr>
                      <w:b/>
                      <w:bCs/>
                      <w:color w:val="000000" w:themeColor="text1"/>
                      <w:kern w:val="0"/>
                      <w:szCs w:val="21"/>
                      <w14:textFill>
                        <w14:solidFill>
                          <w14:schemeClr w14:val="tx1"/>
                        </w14:solidFill>
                      </w14:textFill>
                    </w:rPr>
                  </w:pPr>
                </w:p>
              </w:tc>
              <w:tc>
                <w:tcPr>
                  <w:tcW w:w="1046"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浓度(mg/L)</w:t>
                  </w:r>
                </w:p>
              </w:tc>
              <w:tc>
                <w:tcPr>
                  <w:tcW w:w="1013"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综合废水</w:t>
                  </w:r>
                </w:p>
              </w:tc>
              <w:tc>
                <w:tcPr>
                  <w:tcW w:w="777"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1192.408</w:t>
                  </w: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pH</w:t>
                  </w:r>
                </w:p>
              </w:tc>
              <w:tc>
                <w:tcPr>
                  <w:tcW w:w="104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6~9</w:t>
                  </w:r>
                </w:p>
              </w:tc>
              <w:tc>
                <w:tcPr>
                  <w:tcW w:w="101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130</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130</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27</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动植物油</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总氮</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总磷</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LAS</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48" w:type="pct"/>
                  <w:vMerge w:val="continue"/>
                  <w:vAlign w:val="center"/>
                </w:tcPr>
                <w:p>
                  <w:pPr>
                    <w:jc w:val="center"/>
                    <w:rPr>
                      <w:color w:val="000000" w:themeColor="text1"/>
                      <w:kern w:val="0"/>
                      <w:szCs w:val="21"/>
                      <w14:textFill>
                        <w14:solidFill>
                          <w14:schemeClr w14:val="tx1"/>
                        </w14:solidFill>
                      </w14:textFill>
                    </w:rPr>
                  </w:pPr>
                </w:p>
              </w:tc>
              <w:tc>
                <w:tcPr>
                  <w:tcW w:w="777" w:type="pct"/>
                  <w:vMerge w:val="continue"/>
                  <w:vAlign w:val="center"/>
                </w:tcPr>
                <w:p>
                  <w:pPr>
                    <w:jc w:val="center"/>
                    <w:rPr>
                      <w:color w:val="000000" w:themeColor="text1"/>
                      <w:kern w:val="0"/>
                      <w:szCs w:val="21"/>
                      <w14:textFill>
                        <w14:solidFill>
                          <w14:schemeClr w14:val="tx1"/>
                        </w14:solidFill>
                      </w14:textFill>
                    </w:rPr>
                  </w:pPr>
                </w:p>
              </w:tc>
              <w:tc>
                <w:tcPr>
                  <w:tcW w:w="1316"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粪大肠菌群数（个/L）</w:t>
                  </w:r>
                </w:p>
              </w:tc>
              <w:tc>
                <w:tcPr>
                  <w:tcW w:w="1046"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20000</w:t>
                  </w:r>
                </w:p>
              </w:tc>
              <w:tc>
                <w:tcPr>
                  <w:tcW w:w="101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pStyle w:val="35"/>
              <w:jc w:val="left"/>
              <w:rPr>
                <w:rFonts w:ascii="Times New Roman" w:hAnsi="Times New Roman" w:eastAsia="宋体" w:cs="Times New Roman"/>
                <w:b w:val="0"/>
                <w:snapToGrid w:val="0"/>
                <w:color w:val="000000" w:themeColor="text1"/>
                <w:kern w:val="0"/>
                <w14:textFill>
                  <w14:solidFill>
                    <w14:schemeClr w14:val="tx1"/>
                  </w14:solidFill>
                </w14:textFill>
              </w:rPr>
            </w:pPr>
            <w:r>
              <w:rPr>
                <w:rFonts w:ascii="Times New Roman" w:hAnsi="Times New Roman" w:eastAsia="宋体" w:cs="Times New Roman"/>
                <w:b w:val="0"/>
                <w:snapToGrid w:val="0"/>
                <w:color w:val="000000" w:themeColor="text1"/>
                <w:kern w:val="0"/>
                <w14:textFill>
                  <w14:solidFill>
                    <w14:schemeClr w14:val="tx1"/>
                  </w14:solidFill>
                </w14:textFill>
              </w:rPr>
              <w:t>本项目</w:t>
            </w:r>
            <w:r>
              <w:rPr>
                <w:rFonts w:hint="eastAsia" w:ascii="Times New Roman" w:hAnsi="Times New Roman" w:eastAsia="宋体" w:cs="Times New Roman"/>
                <w:b w:val="0"/>
                <w:snapToGrid w:val="0"/>
                <w:color w:val="000000" w:themeColor="text1"/>
                <w:kern w:val="0"/>
                <w14:textFill>
                  <w14:solidFill>
                    <w14:schemeClr w14:val="tx1"/>
                  </w14:solidFill>
                </w14:textFill>
              </w:rPr>
              <w:t>生产废水化粪池+消毒池杀菌预处理，经化粪池预处理后的综合废水进入唐江镇污水处理厂进行深度处理。具体综合废水排放情况见表4-2。</w:t>
            </w:r>
          </w:p>
          <w:p>
            <w:pPr>
              <w:pStyle w:val="86"/>
              <w:spacing w:before="2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 xml:space="preserve">表 </w:t>
            </w:r>
            <w:r>
              <w:rPr>
                <w:rFonts w:hint="eastAsia" w:ascii="Times New Roman" w:hAnsi="Times New Roman" w:eastAsia="宋体" w:cs="Times New Roman"/>
                <w:b/>
                <w:color w:val="000000" w:themeColor="text1"/>
                <w:sz w:val="24"/>
                <w:lang w:val="en-US"/>
                <w14:textFill>
                  <w14:solidFill>
                    <w14:schemeClr w14:val="tx1"/>
                  </w14:solidFill>
                </w14:textFill>
              </w:rPr>
              <w:t xml:space="preserve">4-2 </w:t>
            </w:r>
            <w:r>
              <w:rPr>
                <w:rFonts w:ascii="Times New Roman" w:hAnsi="Times New Roman" w:eastAsia="宋体" w:cs="Times New Roman"/>
                <w:b/>
                <w:color w:val="000000" w:themeColor="text1"/>
                <w:sz w:val="24"/>
                <w14:textFill>
                  <w14:solidFill>
                    <w14:schemeClr w14:val="tx1"/>
                  </w14:solidFill>
                </w14:textFill>
              </w:rPr>
              <w:t xml:space="preserve"> 项目废水排放情况一览表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797"/>
              <w:gridCol w:w="1004"/>
              <w:gridCol w:w="915"/>
              <w:gridCol w:w="1091"/>
              <w:gridCol w:w="879"/>
              <w:gridCol w:w="649"/>
              <w:gridCol w:w="710"/>
              <w:gridCol w:w="1065"/>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trHeight w:val="340" w:hRule="atLeast"/>
                <w:tblHeader/>
                <w:jc w:val="center"/>
              </w:trPr>
              <w:tc>
                <w:tcPr>
                  <w:tcW w:w="486"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废水类型</w:t>
                  </w:r>
                </w:p>
              </w:tc>
              <w:tc>
                <w:tcPr>
                  <w:tcW w:w="611"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废水量(t/a)</w:t>
                  </w:r>
                </w:p>
              </w:tc>
              <w:tc>
                <w:tcPr>
                  <w:tcW w:w="557"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664"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产生浓度(mg/L)</w:t>
                  </w:r>
                </w:p>
              </w:tc>
              <w:tc>
                <w:tcPr>
                  <w:tcW w:w="535"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c>
                <w:tcPr>
                  <w:tcW w:w="395"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处理措施</w:t>
                  </w:r>
                </w:p>
              </w:tc>
              <w:tc>
                <w:tcPr>
                  <w:tcW w:w="432"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处理效率</w:t>
                  </w:r>
                </w:p>
              </w:tc>
              <w:tc>
                <w:tcPr>
                  <w:tcW w:w="648"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排放浓度(mg/L)</w:t>
                  </w:r>
                </w:p>
              </w:tc>
              <w:tc>
                <w:tcPr>
                  <w:tcW w:w="671"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综合废水</w:t>
                  </w:r>
                </w:p>
              </w:tc>
              <w:tc>
                <w:tcPr>
                  <w:tcW w:w="611" w:type="pct"/>
                  <w:vMerge w:val="restart"/>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1192.408</w:t>
                  </w: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pH</w:t>
                  </w:r>
                </w:p>
              </w:tc>
              <w:tc>
                <w:tcPr>
                  <w:tcW w:w="664"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6~9</w:t>
                  </w:r>
                </w:p>
              </w:tc>
              <w:tc>
                <w:tcPr>
                  <w:tcW w:w="53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5"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化粪池</w:t>
                  </w:r>
                  <w:r>
                    <w:rPr>
                      <w:rFonts w:hint="eastAsia"/>
                      <w:color w:val="000000" w:themeColor="text1"/>
                      <w:kern w:val="0"/>
                      <w:szCs w:val="21"/>
                      <w14:textFill>
                        <w14:solidFill>
                          <w14:schemeClr w14:val="tx1"/>
                        </w14:solidFill>
                      </w14:textFill>
                    </w:rPr>
                    <w:t>+消毒池</w:t>
                  </w:r>
                  <w:r>
                    <w:rPr>
                      <w:color w:val="000000" w:themeColor="text1"/>
                      <w:kern w:val="0"/>
                      <w:szCs w:val="21"/>
                      <w14:textFill>
                        <w14:solidFill>
                          <w14:schemeClr w14:val="tx1"/>
                        </w14:solidFill>
                      </w14:textFill>
                    </w:rPr>
                    <w:t>收集设施</w:t>
                  </w: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48"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6~9</w:t>
                  </w:r>
                </w:p>
              </w:tc>
              <w:tc>
                <w:tcPr>
                  <w:tcW w:w="67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0.298</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130</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0.155</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104</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130</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0.155</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0.322</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26.19</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动植物油</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总氮</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64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29.1</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总磷</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64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0.97</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LAS</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0.010</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64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000000" w:themeColor="text1"/>
                      <w:kern w:val="0"/>
                      <w:szCs w:val="21"/>
                      <w14:textFill>
                        <w14:solidFill>
                          <w14:schemeClr w14:val="tx1"/>
                        </w14:solidFill>
                      </w14:textFill>
                    </w:rPr>
                  </w:pPr>
                </w:p>
              </w:tc>
              <w:tc>
                <w:tcPr>
                  <w:tcW w:w="611" w:type="pct"/>
                  <w:vMerge w:val="continue"/>
                  <w:vAlign w:val="center"/>
                </w:tcPr>
                <w:p>
                  <w:pPr>
                    <w:jc w:val="center"/>
                    <w:rPr>
                      <w:color w:val="000000" w:themeColor="text1"/>
                      <w:kern w:val="0"/>
                      <w:szCs w:val="21"/>
                      <w14:textFill>
                        <w14:solidFill>
                          <w14:schemeClr w14:val="tx1"/>
                        </w14:solidFill>
                      </w14:textFill>
                    </w:rPr>
                  </w:pPr>
                </w:p>
              </w:tc>
              <w:tc>
                <w:tcPr>
                  <w:tcW w:w="557"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粪大肠菌群数（个/L）</w:t>
                  </w:r>
                </w:p>
              </w:tc>
              <w:tc>
                <w:tcPr>
                  <w:tcW w:w="664" w:type="pct"/>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20000</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95" w:type="pct"/>
                  <w:vMerge w:val="continue"/>
                  <w:vAlign w:val="center"/>
                </w:tcPr>
                <w:p>
                  <w:pPr>
                    <w:jc w:val="center"/>
                    <w:rPr>
                      <w:color w:val="000000" w:themeColor="text1"/>
                      <w:kern w:val="0"/>
                      <w:szCs w:val="21"/>
                      <w14:textFill>
                        <w14:solidFill>
                          <w14:schemeClr w14:val="tx1"/>
                        </w14:solidFill>
                      </w14:textFill>
                    </w:rPr>
                  </w:pPr>
                </w:p>
              </w:tc>
              <w:tc>
                <w:tcPr>
                  <w:tcW w:w="432"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c>
                <w:tcPr>
                  <w:tcW w:w="648" w:type="pct"/>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2000</w:t>
                  </w:r>
                </w:p>
              </w:tc>
              <w:tc>
                <w:tcPr>
                  <w:tcW w:w="6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（2）项目水污染控制和水环境影响减缓措施有效性评价</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设置消毒池对遗体解剖废水进行杀菌消毒，采用投加次氯酸钠消毒剂方式，并设置化粪池暂存综合废水，</w:t>
            </w:r>
            <w:r>
              <w:rPr>
                <w:rFonts w:hint="eastAsia"/>
                <w:color w:val="000000" w:themeColor="text1"/>
                <w:sz w:val="24"/>
                <w14:textFill>
                  <w14:solidFill>
                    <w14:schemeClr w14:val="tx1"/>
                  </w14:solidFill>
                </w14:textFill>
              </w:rPr>
              <w:t>化粪池是一种小型污水处理系统，包括一个水池及化粪系统。污水在进入水池时，细菌会对污物进行无氧分解，并会使固体废物体积减少，再经过沉淀后排出，水质污染程度就会降低。污水进入化粪池经过12～24h的沉淀，可去除40%～60%的悬浮物，同时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-N、CODcr、BOD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等指标均有小幅度的降低，经过化粪池处理后的废水经过污水管网排入生化处理系统进行后续处理。沉淀下来的污泥经过3个月以上的厌氧发酵分解，使污泥中的有机物分解成稳定的无机物，易腐败的生污泥转化为稳定的熟污泥，改变了污泥的结构，降低了污泥的含水率，定期将污泥外运至当地垃圾填埋场进行卫生填埋。</w:t>
            </w:r>
          </w:p>
          <w:p>
            <w:pPr>
              <w:pStyle w:val="2"/>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单位内设置一解剖室，解剖产生的废水由于有可能携带人体致病菌，建设单位将解剖产生的废水经专管收集后采用次氯酸钠杀菌措施，解剖废水经化粪池+消毒池杀菌预处理后，随生活污水一道进入唐江镇污水处理厂作深度处理。本项目解剖废水产生量较小，平均0.016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/d，使用次氯酸钠消杀解剖废水产生的致病菌措施是可行的。</w:t>
            </w:r>
          </w:p>
          <w:p>
            <w:pPr>
              <w:pStyle w:val="2"/>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（3）依托污水处理设施的环境可行性评价</w:t>
            </w:r>
          </w:p>
          <w:p>
            <w:pPr>
              <w:pStyle w:val="2"/>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污水处理厂位于</w:t>
            </w: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圩镇，污水处理厂目前处理规模为</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/d，二期将扩容至</w:t>
            </w:r>
            <w:r>
              <w:rPr>
                <w:rFonts w:hint="eastAsia"/>
                <w:color w:val="000000" w:themeColor="text1"/>
                <w14:textFill>
                  <w14:solidFill>
                    <w14:schemeClr w14:val="tx1"/>
                  </w14:solidFill>
                </w14:textFill>
              </w:rPr>
              <w:t>10000m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采用污水处理工艺为A²/O工艺，接管</w:t>
            </w:r>
            <w:r>
              <w:rPr>
                <w:rFonts w:hint="eastAsia"/>
                <w:color w:val="000000" w:themeColor="text1"/>
                <w14:textFill>
                  <w14:solidFill>
                    <w14:schemeClr w14:val="tx1"/>
                  </w14:solidFill>
                </w14:textFill>
              </w:rPr>
              <w:t>污水进入粗格栅，去除粒径较大的杂物，在集水井中由潜水泵提升至细格栅及曝气沉砂池，在细格栅渠道中去除粒径较小的颗粒物，在曝气沉砂池进行砂水分离预处理，沉淀比重大于2.65的砂粒。污水经沉砂后，进入改良型氧化沟进行生化处理。在氧化沟中污水依次通过厌氧区、缺氧区、好氧区，去除大部分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COD、氨氮和磷。生化后的污水进入二沉池，污水中的活性污泥在二沉池底部沉淀，由刮吸泥机排到配水排泥井，其中大部分污泥经池内污泥回流系统回到氧化区的厌氧、缺氧区参与生化反应，剩余污泥则排至污泥储池。二沉池出水进入中间提升集水池，由泵提升至混凝沉淀池，通过加药剂去除污水中的磷，混凝沉淀池出水自流进入纤维转盘滤池，进一步去除非溶解性COD和SS，最后进入接触消毒池，进行二氧化氯消毒，监测出水达到一级A类标准外排。</w:t>
            </w:r>
          </w:p>
          <w:p>
            <w:pPr>
              <w:pStyle w:val="2"/>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本项目处于</w:t>
            </w: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处理厂纳污范围内，且项目所在区域污水管网已接通。项目污水主要污染物为CODCr、SS、NH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，水质较简单，经化粪池处理后，外排废水浓度可以达到</w:t>
            </w: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污水处理厂接管标准要求。本项目</w:t>
            </w:r>
            <w:r>
              <w:rPr>
                <w:rFonts w:hint="eastAsia"/>
                <w:color w:val="000000" w:themeColor="text1"/>
                <w14:textFill>
                  <w14:solidFill>
                    <w14:schemeClr w14:val="tx1"/>
                  </w14:solidFill>
                </w14:textFill>
              </w:rPr>
              <w:t>综合</w:t>
            </w:r>
            <w:r>
              <w:rPr>
                <w:color w:val="000000" w:themeColor="text1"/>
                <w14:textFill>
                  <w14:solidFill>
                    <w14:schemeClr w14:val="tx1"/>
                  </w14:solidFill>
                </w14:textFill>
              </w:rPr>
              <w:t>污水排放量为</w:t>
            </w:r>
            <w:r>
              <w:rPr>
                <w:color w:val="000000" w:themeColor="text1"/>
                <w:szCs w:val="21"/>
                <w14:textFill>
                  <w14:solidFill>
                    <w14:schemeClr w14:val="tx1"/>
                  </w14:solidFill>
                </w14:textFill>
              </w:rPr>
              <w:t>1192.408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/a（平均</w:t>
            </w:r>
            <w:r>
              <w:rPr>
                <w:rFonts w:hint="eastAsia"/>
                <w:color w:val="000000" w:themeColor="text1"/>
                <w14:textFill>
                  <w14:solidFill>
                    <w14:schemeClr w14:val="tx1"/>
                  </w14:solidFill>
                </w14:textFill>
              </w:rPr>
              <w:t>3.613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），远小于污水处理厂的处理规模，废水量在污水处理厂容量之内，水质也符合污水处理厂进水水质的要求，本项目废水不会对</w:t>
            </w: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污水处理厂的处理工艺带来冲击，废水的排入不会影响它正常运行。综上所述，本项目废水预处理后进入</w:t>
            </w:r>
            <w:r>
              <w:rPr>
                <w:rFonts w:hint="eastAsia"/>
                <w:color w:val="000000" w:themeColor="text1"/>
                <w14:textFill>
                  <w14:solidFill>
                    <w14:schemeClr w14:val="tx1"/>
                  </w14:solidFill>
                </w14:textFill>
              </w:rPr>
              <w:t>唐江镇</w:t>
            </w:r>
            <w:r>
              <w:rPr>
                <w:color w:val="000000" w:themeColor="text1"/>
                <w14:textFill>
                  <w14:solidFill>
                    <w14:schemeClr w14:val="tx1"/>
                  </w14:solidFill>
                </w14:textFill>
              </w:rPr>
              <w:t>污水处理厂处理的方案可行。</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szCs w:val="24"/>
                <w14:textFill>
                  <w14:solidFill>
                    <w14:schemeClr w14:val="tx1"/>
                  </w14:solidFill>
                </w14:textFill>
              </w:rPr>
              <w:t>废水排放口信息</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雨水排放口信息见表4-3。</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表4-3 废水排放口信息</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20"/>
              <w:gridCol w:w="1899"/>
              <w:gridCol w:w="1206"/>
              <w:gridCol w:w="700"/>
              <w:gridCol w:w="1266"/>
              <w:gridCol w:w="1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600"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tc>
              <w:tc>
                <w:tcPr>
                  <w:tcW w:w="119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538"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p>
              </w:tc>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排放去向</w:t>
                  </w:r>
                </w:p>
              </w:tc>
              <w:tc>
                <w:tcPr>
                  <w:tcW w:w="810"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受纳水体功能目标</w:t>
                  </w:r>
                </w:p>
              </w:tc>
              <w:tc>
                <w:tcPr>
                  <w:tcW w:w="1131"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雨水</w:t>
                  </w:r>
                </w:p>
              </w:tc>
              <w:tc>
                <w:tcPr>
                  <w:tcW w:w="60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YS</w:t>
                  </w:r>
                  <w:r>
                    <w:rPr>
                      <w:color w:val="000000" w:themeColor="text1"/>
                      <w:szCs w:val="21"/>
                      <w14:textFill>
                        <w14:solidFill>
                          <w14:schemeClr w14:val="tx1"/>
                        </w14:solidFill>
                      </w14:textFill>
                    </w:rPr>
                    <w:t>001</w:t>
                  </w:r>
                </w:p>
              </w:tc>
              <w:tc>
                <w:tcPr>
                  <w:tcW w:w="119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东经：114°</w:t>
                  </w:r>
                  <w:r>
                    <w:rPr>
                      <w:rFonts w:hint="eastAsia"/>
                      <w:color w:val="000000" w:themeColor="text1"/>
                      <w:szCs w:val="21"/>
                      <w14:textFill>
                        <w14:solidFill>
                          <w14:schemeClr w14:val="tx1"/>
                        </w14:solidFill>
                      </w14:textFill>
                    </w:rPr>
                    <w:t>43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49.132</w:t>
                  </w:r>
                  <w:r>
                    <w:rPr>
                      <w:color w:val="000000" w:themeColor="text1"/>
                      <w:szCs w:val="21"/>
                      <w14:textFill>
                        <w14:solidFill>
                          <w14:schemeClr w14:val="tx1"/>
                        </w14:solidFill>
                      </w14:textFill>
                    </w:rPr>
                    <w:t>″，北纬：25°</w:t>
                  </w:r>
                  <w:r>
                    <w:rPr>
                      <w:rFonts w:hint="eastAsia"/>
                      <w:color w:val="000000" w:themeColor="text1"/>
                      <w:szCs w:val="21"/>
                      <w14:textFill>
                        <w14:solidFill>
                          <w14:schemeClr w14:val="tx1"/>
                        </w14:solidFill>
                      </w14:textFill>
                    </w:rPr>
                    <w:t>46</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58.221</w:t>
                  </w:r>
                  <w:r>
                    <w:rPr>
                      <w:color w:val="000000" w:themeColor="text1"/>
                      <w:szCs w:val="21"/>
                      <w14:textFill>
                        <w14:solidFill>
                          <w14:schemeClr w14:val="tx1"/>
                        </w14:solidFill>
                      </w14:textFill>
                    </w:rPr>
                    <w:t>″</w:t>
                  </w:r>
                </w:p>
              </w:tc>
              <w:tc>
                <w:tcPr>
                  <w:tcW w:w="53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6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上犹江</w:t>
                  </w:r>
                </w:p>
              </w:tc>
              <w:tc>
                <w:tcPr>
                  <w:tcW w:w="81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III类</w:t>
                  </w:r>
                </w:p>
              </w:tc>
              <w:tc>
                <w:tcPr>
                  <w:tcW w:w="1131"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间断排放，排放期间流量不稳定且无规律，但不属于冲击型排放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6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w:t>
                  </w:r>
                </w:p>
              </w:tc>
              <w:tc>
                <w:tcPr>
                  <w:tcW w:w="60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WS</w:t>
                  </w:r>
                  <w:r>
                    <w:rPr>
                      <w:color w:val="000000" w:themeColor="text1"/>
                      <w:szCs w:val="21"/>
                      <w14:textFill>
                        <w14:solidFill>
                          <w14:schemeClr w14:val="tx1"/>
                        </w14:solidFill>
                      </w14:textFill>
                    </w:rPr>
                    <w:t>001</w:t>
                  </w:r>
                </w:p>
              </w:tc>
              <w:tc>
                <w:tcPr>
                  <w:tcW w:w="119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东经：114°</w:t>
                  </w:r>
                  <w:r>
                    <w:rPr>
                      <w:rFonts w:hint="eastAsia"/>
                      <w:color w:val="000000" w:themeColor="text1"/>
                      <w:szCs w:val="21"/>
                      <w14:textFill>
                        <w14:solidFill>
                          <w14:schemeClr w14:val="tx1"/>
                        </w14:solidFill>
                      </w14:textFill>
                    </w:rPr>
                    <w:t>43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50.126</w:t>
                  </w:r>
                  <w:r>
                    <w:rPr>
                      <w:color w:val="000000" w:themeColor="text1"/>
                      <w:szCs w:val="21"/>
                      <w14:textFill>
                        <w14:solidFill>
                          <w14:schemeClr w14:val="tx1"/>
                        </w14:solidFill>
                      </w14:textFill>
                    </w:rPr>
                    <w:t>″，北纬：25°</w:t>
                  </w:r>
                  <w:r>
                    <w:rPr>
                      <w:rFonts w:hint="eastAsia"/>
                      <w:color w:val="000000" w:themeColor="text1"/>
                      <w:szCs w:val="21"/>
                      <w14:textFill>
                        <w14:solidFill>
                          <w14:schemeClr w14:val="tx1"/>
                        </w14:solidFill>
                      </w14:textFill>
                    </w:rPr>
                    <w:t>46</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8.626</w:t>
                  </w:r>
                  <w:r>
                    <w:rPr>
                      <w:color w:val="000000" w:themeColor="text1"/>
                      <w:szCs w:val="21"/>
                      <w14:textFill>
                        <w14:solidFill>
                          <w14:schemeClr w14:val="tx1"/>
                        </w14:solidFill>
                      </w14:textFill>
                    </w:rPr>
                    <w:t>″</w:t>
                  </w:r>
                </w:p>
              </w:tc>
              <w:tc>
                <w:tcPr>
                  <w:tcW w:w="53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1192.408t/a</w:t>
                  </w:r>
                </w:p>
              </w:tc>
              <w:tc>
                <w:tcPr>
                  <w:tcW w:w="46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上犹江</w:t>
                  </w:r>
                </w:p>
              </w:tc>
              <w:tc>
                <w:tcPr>
                  <w:tcW w:w="81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III类</w:t>
                  </w:r>
                </w:p>
              </w:tc>
              <w:tc>
                <w:tcPr>
                  <w:tcW w:w="1131" w:type="pct"/>
                  <w:vMerge w:val="continue"/>
                  <w:vAlign w:val="center"/>
                </w:tcPr>
                <w:p>
                  <w:pPr>
                    <w:adjustRightInd w:val="0"/>
                    <w:snapToGrid w:val="0"/>
                    <w:jc w:val="center"/>
                    <w:rPr>
                      <w:color w:val="000000" w:themeColor="text1"/>
                      <w:szCs w:val="21"/>
                      <w14:textFill>
                        <w14:solidFill>
                          <w14:schemeClr w14:val="tx1"/>
                        </w14:solidFill>
                      </w14:textFill>
                    </w:rPr>
                  </w:pPr>
                </w:p>
              </w:tc>
            </w:tr>
          </w:tbl>
          <w:p>
            <w:pPr>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）废水监测要求</w:t>
            </w:r>
          </w:p>
          <w:p>
            <w:pPr>
              <w:spacing w:line="360" w:lineRule="auto"/>
              <w:ind w:firstLine="480" w:firstLineChars="200"/>
              <w:rPr>
                <w:b/>
                <w:bCs/>
                <w:color w:val="000000" w:themeColor="text1"/>
                <w:szCs w:val="21"/>
                <w:lang w:val="zh-CN"/>
                <w14:textFill>
                  <w14:solidFill>
                    <w14:schemeClr w14:val="tx1"/>
                  </w14:solidFill>
                </w14:textFill>
              </w:rPr>
            </w:pPr>
            <w:r>
              <w:rPr>
                <w:color w:val="000000" w:themeColor="text1"/>
                <w:sz w:val="24"/>
                <w:lang w:val="zh-CN"/>
                <w14:textFill>
                  <w14:solidFill>
                    <w14:schemeClr w14:val="tx1"/>
                  </w14:solidFill>
                </w14:textFill>
              </w:rPr>
              <w:t>建设单位应定期委托有</w:t>
            </w:r>
            <w:r>
              <w:rPr>
                <w:rFonts w:hint="eastAsia"/>
                <w:color w:val="000000" w:themeColor="text1"/>
                <w:sz w:val="24"/>
                <w:lang w:val="zh-CN"/>
                <w14:textFill>
                  <w14:solidFill>
                    <w14:schemeClr w14:val="tx1"/>
                  </w14:solidFill>
                </w14:textFill>
              </w:rPr>
              <w:t>测试</w:t>
            </w:r>
            <w:r>
              <w:rPr>
                <w:color w:val="000000" w:themeColor="text1"/>
                <w:sz w:val="24"/>
                <w:lang w:val="zh-CN"/>
                <w14:textFill>
                  <w14:solidFill>
                    <w14:schemeClr w14:val="tx1"/>
                  </w14:solidFill>
                </w14:textFill>
              </w:rPr>
              <w:t>资质单位对</w:t>
            </w:r>
            <w:r>
              <w:rPr>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 xml:space="preserve">污染源进行监测。参考《排污许可证申请与核发技术规范 </w:t>
            </w:r>
            <w:r>
              <w:rPr>
                <w:rFonts w:hint="eastAsia"/>
                <w:color w:val="000000" w:themeColor="text1"/>
                <w:sz w:val="24"/>
                <w:lang w:val="zh-CN"/>
                <w14:textFill>
                  <w14:solidFill>
                    <w14:schemeClr w14:val="tx1"/>
                  </w14:solidFill>
                </w14:textFill>
              </w:rPr>
              <w:t>总则</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HJ 942-2018</w:t>
            </w:r>
            <w:r>
              <w:rPr>
                <w:color w:val="000000" w:themeColor="text1"/>
                <w:sz w:val="24"/>
                <w:lang w:val="zh-CN"/>
                <w14:textFill>
                  <w14:solidFill>
                    <w14:schemeClr w14:val="tx1"/>
                  </w14:solidFill>
                </w14:textFill>
              </w:rPr>
              <w:t>），运营期</w:t>
            </w:r>
            <w:r>
              <w:rPr>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污染源监测计划见表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-4</w:t>
            </w:r>
            <w:r>
              <w:rPr>
                <w:color w:val="000000" w:themeColor="text1"/>
                <w:sz w:val="24"/>
                <w:lang w:val="zh-CN"/>
                <w14:textFill>
                  <w14:solidFill>
                    <w14:schemeClr w14:val="tx1"/>
                  </w14:solidFill>
                </w14:textFill>
              </w:rPr>
              <w:t>。</w:t>
            </w:r>
          </w:p>
          <w:p>
            <w:pPr>
              <w:autoSpaceDE w:val="0"/>
              <w:autoSpaceDN w:val="0"/>
              <w:jc w:val="center"/>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表</w:t>
            </w: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-4</w:t>
            </w:r>
            <w:r>
              <w:rPr>
                <w:b/>
                <w:bCs/>
                <w:color w:val="000000" w:themeColor="text1"/>
                <w:sz w:val="24"/>
                <w:lang w:val="zh-CN"/>
                <w14:textFill>
                  <w14:solidFill>
                    <w14:schemeClr w14:val="tx1"/>
                  </w14:solidFill>
                </w14:textFill>
              </w:rPr>
              <w:t xml:space="preserve">  项目废水监测计划及记录信息表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316"/>
              <w:gridCol w:w="443"/>
              <w:gridCol w:w="813"/>
              <w:gridCol w:w="607"/>
              <w:gridCol w:w="662"/>
              <w:gridCol w:w="1127"/>
              <w:gridCol w:w="557"/>
              <w:gridCol w:w="627"/>
              <w:gridCol w:w="901"/>
              <w:gridCol w:w="653"/>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序号</w:t>
                  </w:r>
                </w:p>
              </w:tc>
              <w:tc>
                <w:tcPr>
                  <w:tcW w:w="807"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排放口编号</w:t>
                  </w: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污染物</w:t>
                  </w:r>
                </w:p>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名称</w:t>
                  </w:r>
                </w:p>
              </w:tc>
              <w:tc>
                <w:tcPr>
                  <w:tcW w:w="1255"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监测设施</w:t>
                  </w:r>
                </w:p>
              </w:tc>
              <w:tc>
                <w:tcPr>
                  <w:tcW w:w="1404"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自动监测设施安装位置</w:t>
                  </w:r>
                </w:p>
              </w:tc>
              <w:tc>
                <w:tcPr>
                  <w:tcW w:w="2305"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自动监测设施的安装、运行、维护等相关管理要求</w:t>
                  </w:r>
                </w:p>
              </w:tc>
              <w:tc>
                <w:tcPr>
                  <w:tcW w:w="1118"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自动监测是否联网</w:t>
                  </w:r>
                </w:p>
              </w:tc>
              <w:tc>
                <w:tcPr>
                  <w:tcW w:w="1309"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自动监测仪器名称</w:t>
                  </w:r>
                </w:p>
              </w:tc>
              <w:tc>
                <w:tcPr>
                  <w:tcW w:w="1694"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手工监测采样方法及个数</w:t>
                  </w:r>
                </w:p>
              </w:tc>
              <w:tc>
                <w:tcPr>
                  <w:tcW w:w="1378"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手工监测频次</w:t>
                  </w:r>
                </w:p>
              </w:tc>
              <w:tc>
                <w:tcPr>
                  <w:tcW w:w="1506" w:type="dxa"/>
                  <w:tcBorders>
                    <w:tl2br w:val="nil"/>
                    <w:tr2bl w:val="nil"/>
                  </w:tcBorders>
                  <w:vAlign w:val="center"/>
                </w:tcPr>
                <w:p>
                  <w:pPr>
                    <w:pStyle w:val="133"/>
                    <w:shd w:val="clear" w:color="auto" w:fill="auto"/>
                    <w:spacing w:after="0" w:line="240" w:lineRule="auto"/>
                    <w:contextualSpacing/>
                    <w:rPr>
                      <w:rFonts w:ascii="Times New Roman" w:hAnsi="Times New Roman" w:eastAsiaTheme="minorEastAsia"/>
                      <w:b/>
                      <w:color w:val="000000" w:themeColor="text1"/>
                      <w:sz w:val="21"/>
                      <w:szCs w:val="21"/>
                      <w14:textFill>
                        <w14:solidFill>
                          <w14:schemeClr w14:val="tx1"/>
                        </w14:solidFill>
                      </w14:textFill>
                    </w:rPr>
                  </w:pPr>
                  <w:r>
                    <w:rPr>
                      <w:rStyle w:val="134"/>
                      <w:rFonts w:ascii="Times New Roman" w:hAnsi="Times New Roman" w:cs="Times New Roman" w:eastAsiaTheme="minorEastAsia"/>
                      <w:b/>
                      <w:color w:val="000000" w:themeColor="text1"/>
                      <w:sz w:val="21"/>
                      <w:szCs w:val="21"/>
                      <w14:textFill>
                        <w14:solidFill>
                          <w14:schemeClr w14:val="tx1"/>
                        </w14:solidFill>
                      </w14:textFill>
                    </w:rPr>
                    <w:t>手工测定方法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462"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1</w:t>
                  </w:r>
                </w:p>
              </w:tc>
              <w:tc>
                <w:tcPr>
                  <w:tcW w:w="807"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废水总排口</w:t>
                  </w: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pH</w:t>
                  </w:r>
                </w:p>
              </w:tc>
              <w:tc>
                <w:tcPr>
                  <w:tcW w:w="1255"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□自动</w:t>
                  </w:r>
                </w:p>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√手工</w:t>
                  </w:r>
                </w:p>
              </w:tc>
              <w:tc>
                <w:tcPr>
                  <w:tcW w:w="1404"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w:t>
                  </w:r>
                </w:p>
              </w:tc>
              <w:tc>
                <w:tcPr>
                  <w:tcW w:w="2305"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w:t>
                  </w:r>
                </w:p>
              </w:tc>
              <w:tc>
                <w:tcPr>
                  <w:tcW w:w="1118"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w:t>
                  </w:r>
                </w:p>
              </w:tc>
              <w:tc>
                <w:tcPr>
                  <w:tcW w:w="1309"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w:t>
                  </w:r>
                </w:p>
              </w:tc>
              <w:tc>
                <w:tcPr>
                  <w:tcW w:w="1694"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每次</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1</w:t>
                  </w:r>
                  <w:r>
                    <w:rPr>
                      <w:rStyle w:val="134"/>
                      <w:rFonts w:ascii="Times New Roman" w:hAnsi="Times New Roman" w:cs="Times New Roman" w:eastAsiaTheme="minorEastAsia"/>
                      <w:bCs/>
                      <w:color w:val="000000" w:themeColor="text1"/>
                      <w:sz w:val="21"/>
                      <w:szCs w:val="21"/>
                      <w14:textFill>
                        <w14:solidFill>
                          <w14:schemeClr w14:val="tx1"/>
                        </w14:solidFill>
                      </w14:textFill>
                    </w:rPr>
                    <w:t>日，每日取样4次</w:t>
                  </w:r>
                </w:p>
              </w:tc>
              <w:tc>
                <w:tcPr>
                  <w:tcW w:w="1378" w:type="dxa"/>
                  <w:vMerge w:val="restart"/>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1次/</w:t>
                  </w:r>
                  <w:r>
                    <w:rPr>
                      <w:rStyle w:val="134"/>
                      <w:rFonts w:ascii="Times New Roman" w:hAnsi="Times New Roman" w:cs="Times New Roman" w:eastAsiaTheme="minorEastAsia"/>
                      <w:bCs/>
                      <w:color w:val="000000" w:themeColor="text1"/>
                      <w:sz w:val="21"/>
                      <w:szCs w:val="21"/>
                      <w14:textFill>
                        <w14:solidFill>
                          <w14:schemeClr w14:val="tx1"/>
                        </w14:solidFill>
                      </w14:textFill>
                    </w:rPr>
                    <w:t>季</w:t>
                  </w:r>
                </w:p>
              </w:tc>
              <w:tc>
                <w:tcPr>
                  <w:tcW w:w="1506"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GB 6920-1986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462"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807"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COD</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cr</w:t>
                  </w:r>
                </w:p>
              </w:tc>
              <w:tc>
                <w:tcPr>
                  <w:tcW w:w="125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40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230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1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09"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69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7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506"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H</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J828-2017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807"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B</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OD</w:t>
                  </w:r>
                  <w:r>
                    <w:rPr>
                      <w:rStyle w:val="134"/>
                      <w:rFonts w:ascii="Times New Roman" w:hAnsi="Times New Roman" w:cs="Times New Roman" w:eastAsiaTheme="minorEastAsia"/>
                      <w:bCs/>
                      <w:color w:val="000000" w:themeColor="text1"/>
                      <w:sz w:val="21"/>
                      <w:szCs w:val="21"/>
                      <w:vertAlign w:val="subscript"/>
                      <w14:textFill>
                        <w14:solidFill>
                          <w14:schemeClr w14:val="tx1"/>
                        </w14:solidFill>
                      </w14:textFill>
                    </w:rPr>
                    <w:t>5</w:t>
                  </w:r>
                </w:p>
              </w:tc>
              <w:tc>
                <w:tcPr>
                  <w:tcW w:w="125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40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230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1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09"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69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7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506"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H</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J505-2009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807"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S</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S</w:t>
                  </w:r>
                </w:p>
              </w:tc>
              <w:tc>
                <w:tcPr>
                  <w:tcW w:w="125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40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230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1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09"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69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7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506"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GB</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/T11901-1989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807"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32"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N</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H</w:t>
                  </w:r>
                  <w:r>
                    <w:rPr>
                      <w:rStyle w:val="134"/>
                      <w:rFonts w:ascii="Times New Roman" w:hAnsi="Times New Roman" w:cs="Times New Roman" w:eastAsiaTheme="minorEastAsia"/>
                      <w:bCs/>
                      <w:color w:val="000000" w:themeColor="text1"/>
                      <w:sz w:val="21"/>
                      <w:szCs w:val="21"/>
                      <w:vertAlign w:val="subscript"/>
                      <w:lang w:eastAsia="zh-TW"/>
                      <w14:textFill>
                        <w14:solidFill>
                          <w14:schemeClr w14:val="tx1"/>
                        </w14:solidFill>
                      </w14:textFill>
                    </w:rPr>
                    <w:t>3</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-N</w:t>
                  </w:r>
                </w:p>
              </w:tc>
              <w:tc>
                <w:tcPr>
                  <w:tcW w:w="125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40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2305"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11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09"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694"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378" w:type="dxa"/>
                  <w:vMerge w:val="continue"/>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p>
              </w:tc>
              <w:tc>
                <w:tcPr>
                  <w:tcW w:w="1506" w:type="dxa"/>
                  <w:tcBorders>
                    <w:tl2br w:val="nil"/>
                    <w:tr2bl w:val="nil"/>
                  </w:tcBorders>
                  <w:vAlign w:val="center"/>
                </w:tcPr>
                <w:p>
                  <w:pPr>
                    <w:pStyle w:val="133"/>
                    <w:shd w:val="clear" w:color="auto" w:fill="auto"/>
                    <w:spacing w:after="0" w:line="240" w:lineRule="auto"/>
                    <w:contextualSpacing/>
                    <w:rPr>
                      <w:rStyle w:val="134"/>
                      <w:rFonts w:ascii="Times New Roman" w:hAnsi="Times New Roman" w:cs="Times New Roman" w:eastAsiaTheme="minorEastAsia"/>
                      <w:bCs/>
                      <w:color w:val="000000" w:themeColor="text1"/>
                      <w:sz w:val="21"/>
                      <w:szCs w:val="21"/>
                      <w14:textFill>
                        <w14:solidFill>
                          <w14:schemeClr w14:val="tx1"/>
                        </w14:solidFill>
                      </w14:textFill>
                    </w:rPr>
                  </w:pPr>
                  <w:r>
                    <w:rPr>
                      <w:rStyle w:val="134"/>
                      <w:rFonts w:ascii="Times New Roman" w:hAnsi="Times New Roman" w:cs="Times New Roman" w:eastAsiaTheme="minorEastAsia"/>
                      <w:bCs/>
                      <w:color w:val="000000" w:themeColor="text1"/>
                      <w:sz w:val="21"/>
                      <w:szCs w:val="21"/>
                      <w14:textFill>
                        <w14:solidFill>
                          <w14:schemeClr w14:val="tx1"/>
                        </w14:solidFill>
                      </w14:textFill>
                    </w:rPr>
                    <w:t>HJ</w:t>
                  </w:r>
                  <w:r>
                    <w:rPr>
                      <w:rStyle w:val="134"/>
                      <w:rFonts w:ascii="Times New Roman" w:hAnsi="Times New Roman" w:cs="Times New Roman" w:eastAsiaTheme="minorEastAsia"/>
                      <w:bCs/>
                      <w:color w:val="000000" w:themeColor="text1"/>
                      <w:sz w:val="21"/>
                      <w:szCs w:val="21"/>
                      <w:lang w:eastAsia="zh-TW"/>
                      <w14:textFill>
                        <w14:solidFill>
                          <w14:schemeClr w14:val="tx1"/>
                        </w14:solidFill>
                      </w14:textFill>
                    </w:rPr>
                    <w:t>535-2009</w:t>
                  </w:r>
                </w:p>
              </w:tc>
            </w:tr>
          </w:tbl>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2、废气</w:t>
            </w:r>
          </w:p>
          <w:p>
            <w:pPr>
              <w:pStyle w:val="86"/>
              <w:spacing w:line="360" w:lineRule="auto"/>
              <w:ind w:firstLine="480" w:firstLineChars="200"/>
              <w:textAlignment w:val="baseline"/>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本项目营运期的废气主要为项目火化炉焚烧尸体过程中产生的烟尘、SO</w:t>
            </w:r>
            <w:r>
              <w:rPr>
                <w:rFonts w:ascii="Times New Roman" w:hAnsi="Times New Roman" w:cs="Times New Roman" w:eastAsiaTheme="minorEastAsia"/>
                <w:color w:val="000000" w:themeColor="text1"/>
                <w:sz w:val="24"/>
                <w:vertAlign w:val="subscript"/>
                <w14:textFill>
                  <w14:solidFill>
                    <w14:schemeClr w14:val="tx1"/>
                  </w14:solidFill>
                </w14:textFill>
              </w:rPr>
              <w:t>2</w:t>
            </w:r>
            <w:r>
              <w:rPr>
                <w:rFonts w:ascii="Times New Roman" w:hAnsi="Times New Roman" w:cs="Times New Roman" w:eastAsiaTheme="minorEastAsia"/>
                <w:color w:val="000000" w:themeColor="text1"/>
                <w:sz w:val="24"/>
                <w14:textFill>
                  <w14:solidFill>
                    <w14:schemeClr w14:val="tx1"/>
                  </w14:solidFill>
                </w14:textFill>
              </w:rPr>
              <w:t>、NO</w:t>
            </w:r>
            <w:r>
              <w:rPr>
                <w:rFonts w:ascii="Times New Roman" w:hAnsi="Times New Roman" w:cs="Times New Roman" w:eastAsiaTheme="minorEastAsia"/>
                <w:color w:val="000000" w:themeColor="text1"/>
                <w:sz w:val="24"/>
                <w:vertAlign w:val="subscript"/>
                <w14:textFill>
                  <w14:solidFill>
                    <w14:schemeClr w14:val="tx1"/>
                  </w14:solidFill>
                </w14:textFill>
              </w:rPr>
              <w:t>2</w:t>
            </w:r>
            <w:r>
              <w:rPr>
                <w:rFonts w:ascii="Times New Roman" w:hAnsi="Times New Roman" w:cs="Times New Roman" w:eastAsiaTheme="minorEastAsia"/>
                <w:color w:val="000000" w:themeColor="text1"/>
                <w:sz w:val="24"/>
                <w14:textFill>
                  <w14:solidFill>
                    <w14:schemeClr w14:val="tx1"/>
                  </w14:solidFill>
                </w14:textFill>
              </w:rPr>
              <w:t>、CO、HCl、以及少量的汞、二噁英类等废气，食堂油烟废气等。</w:t>
            </w:r>
          </w:p>
          <w:p>
            <w:pPr>
              <w:pStyle w:val="86"/>
              <w:spacing w:line="360" w:lineRule="auto"/>
              <w:ind w:firstLine="480" w:firstLineChars="200"/>
              <w:textAlignment w:val="baseline"/>
              <w:rPr>
                <w:rFonts w:ascii="Times New Roman" w:hAnsi="Times New Roman" w:cs="Times New Roman" w:eastAsiaTheme="minorEastAsia"/>
                <w:color w:val="000000" w:themeColor="text1"/>
                <w:kern w:val="0"/>
                <w:sz w:val="24"/>
                <w:lang w:val="en-US"/>
                <w14:textFill>
                  <w14:solidFill>
                    <w14:schemeClr w14:val="tx1"/>
                  </w14:solidFill>
                </w14:textFill>
              </w:rPr>
            </w:pPr>
            <w:r>
              <w:rPr>
                <w:rFonts w:hint="eastAsia" w:ascii="Times New Roman" w:hAnsi="Times New Roman" w:cs="Times New Roman" w:eastAsiaTheme="minorEastAsia"/>
                <w:color w:val="000000" w:themeColor="text1"/>
                <w:kern w:val="0"/>
                <w:sz w:val="24"/>
                <w:lang w:val="en-US"/>
                <w14:textFill>
                  <w14:solidFill>
                    <w14:schemeClr w14:val="tx1"/>
                  </w14:solidFill>
                </w14:textFill>
              </w:rPr>
              <w:t>项目设置四台火化炉，有遗体火化任务时开启，平时关闭。每台火化炉单次运行时间约60分钟，四台火化炉中，1#，2#火化炉烟气经各自烟道汇合至主烟道，通过第一套二次燃烧+急冷装置+布袋除尘+双碱水膜脱硫+活性炭喷射处理系统处理达标后，由1根离地15m的排气筒（1#排气筒）高空排放。3#，4#火化炉烟气经各自烟道汇合至主烟道，通过第二套二次燃烧+急冷装置+布袋除尘+双碱水膜脱硫+活性炭喷射处理系统处理达标后，由1根离地15m的排气筒（2#排气筒）高空排放。每台火化炉风机风量约4000m</w:t>
            </w:r>
            <w:r>
              <w:rPr>
                <w:rFonts w:hint="eastAsia" w:ascii="Times New Roman" w:hAnsi="Times New Roman" w:cs="Times New Roman" w:eastAsiaTheme="minorEastAsia"/>
                <w:color w:val="000000" w:themeColor="text1"/>
                <w:kern w:val="0"/>
                <w:sz w:val="24"/>
                <w:vertAlign w:val="superscript"/>
                <w:lang w:val="en-US"/>
                <w14:textFill>
                  <w14:solidFill>
                    <w14:schemeClr w14:val="tx1"/>
                  </w14:solidFill>
                </w14:textFill>
              </w:rPr>
              <w:t>3</w:t>
            </w:r>
            <w:r>
              <w:rPr>
                <w:rFonts w:hint="eastAsia" w:ascii="Times New Roman" w:hAnsi="Times New Roman" w:cs="Times New Roman" w:eastAsiaTheme="minorEastAsia"/>
                <w:color w:val="000000" w:themeColor="text1"/>
                <w:kern w:val="0"/>
                <w:sz w:val="24"/>
                <w:lang w:val="en-US"/>
                <w14:textFill>
                  <w14:solidFill>
                    <w14:schemeClr w14:val="tx1"/>
                  </w14:solidFill>
                </w14:textFill>
              </w:rPr>
              <w:t>/h，四台风机总风量达16000m</w:t>
            </w:r>
            <w:r>
              <w:rPr>
                <w:rFonts w:hint="eastAsia" w:ascii="Times New Roman" w:hAnsi="Times New Roman" w:cs="Times New Roman" w:eastAsiaTheme="minorEastAsia"/>
                <w:color w:val="000000" w:themeColor="text1"/>
                <w:kern w:val="0"/>
                <w:sz w:val="24"/>
                <w:vertAlign w:val="superscript"/>
                <w:lang w:val="en-US"/>
                <w14:textFill>
                  <w14:solidFill>
                    <w14:schemeClr w14:val="tx1"/>
                  </w14:solidFill>
                </w14:textFill>
              </w:rPr>
              <w:t>3</w:t>
            </w:r>
            <w:r>
              <w:rPr>
                <w:rFonts w:hint="eastAsia" w:ascii="Times New Roman" w:hAnsi="Times New Roman" w:cs="Times New Roman" w:eastAsiaTheme="minorEastAsia"/>
                <w:color w:val="000000" w:themeColor="text1"/>
                <w:kern w:val="0"/>
                <w:sz w:val="24"/>
                <w:lang w:val="en-US"/>
                <w14:textFill>
                  <w14:solidFill>
                    <w14:schemeClr w14:val="tx1"/>
                  </w14:solidFill>
                </w14:textFill>
              </w:rPr>
              <w:t>/h。急冷方式为雾化风冷方式，采用湿式双碱法脱硫塔脱硫脱硝，项目废气产排情况见下表，具体分析见大气环境影响评价专章。</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4-5  全厂火化炉尾气产排情况一览表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2"/>
              <w:gridCol w:w="1181"/>
              <w:gridCol w:w="1305"/>
              <w:gridCol w:w="630"/>
              <w:gridCol w:w="633"/>
              <w:gridCol w:w="1286"/>
              <w:gridCol w:w="1160"/>
              <w:gridCol w:w="11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712"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产生浓度mg/m</w:t>
                  </w:r>
                  <w:r>
                    <w:rPr>
                      <w:b/>
                      <w:bCs/>
                      <w:color w:val="000000" w:themeColor="text1"/>
                      <w:szCs w:val="21"/>
                      <w:vertAlign w:val="superscript"/>
                      <w14:textFill>
                        <w14:solidFill>
                          <w14:schemeClr w14:val="tx1"/>
                        </w14:solidFill>
                      </w14:textFill>
                    </w:rPr>
                    <w:t>3</w:t>
                  </w:r>
                </w:p>
              </w:tc>
              <w:tc>
                <w:tcPr>
                  <w:tcW w:w="785"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396"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总风量m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/h</w:t>
                  </w:r>
                </w:p>
              </w:tc>
              <w:tc>
                <w:tcPr>
                  <w:tcW w:w="398"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处理效率</w:t>
                  </w:r>
                </w:p>
              </w:tc>
              <w:tc>
                <w:tcPr>
                  <w:tcW w:w="775"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701"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排放速率</w:t>
                  </w: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（kg/h）</w:t>
                  </w:r>
                </w:p>
              </w:tc>
              <w:tc>
                <w:tcPr>
                  <w:tcW w:w="719"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烟尘</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644.44</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9.28</w:t>
                  </w:r>
                </w:p>
              </w:tc>
              <w:tc>
                <w:tcPr>
                  <w:tcW w:w="396"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16000</w:t>
                  </w: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0.094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1.932</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0.028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7.431</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0.107</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r>
                    <w:rPr>
                      <w:rFonts w:hint="eastAsia"/>
                      <w:color w:val="000000" w:themeColor="text1"/>
                      <w:szCs w:val="21"/>
                      <w14:textFill>
                        <w14:solidFill>
                          <w14:schemeClr w14:val="tx1"/>
                        </w14:solidFill>
                      </w14:textFill>
                    </w:rPr>
                    <w:t>6</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0.055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14.236</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0.205</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5.69</w:t>
                  </w:r>
                  <w:r>
                    <w:rPr>
                      <w:rFonts w:hint="eastAsia"/>
                      <w:color w:val="000000" w:themeColor="text1"/>
                      <w:szCs w:val="21"/>
                      <w14:textFill>
                        <w14:solidFill>
                          <w14:schemeClr w14:val="tx1"/>
                        </w14:solidFill>
                      </w14:textFill>
                    </w:rPr>
                    <w:t>4</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0.083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6.25</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0.090</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w:t>
                  </w:r>
                  <w:r>
                    <w:rPr>
                      <w:rFonts w:hint="eastAsia"/>
                      <w:color w:val="000000" w:themeColor="text1"/>
                      <w:szCs w:val="21"/>
                      <w14:textFill>
                        <w14:solidFill>
                          <w14:schemeClr w14:val="tx1"/>
                        </w14:solidFill>
                      </w14:textFill>
                    </w:rPr>
                    <w:t>3</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0.023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汞</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0.00024</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017</w:t>
                  </w:r>
                </w:p>
              </w:tc>
              <w:tc>
                <w:tcPr>
                  <w:tcW w:w="70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w:t>
                  </w:r>
                  <w:r>
                    <w:rPr>
                      <w:rFonts w:hint="eastAsia"/>
                      <w:color w:val="000000" w:themeColor="text1"/>
                      <w:szCs w:val="21"/>
                      <w14:textFill>
                        <w14:solidFill>
                          <w14:schemeClr w14:val="tx1"/>
                        </w14:solidFill>
                      </w14:textFill>
                    </w:rPr>
                    <w:t>4</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二噁英</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4.1ngTEQ/m</w:t>
                  </w:r>
                  <w:r>
                    <w:rPr>
                      <w:color w:val="000000" w:themeColor="text1"/>
                      <w:szCs w:val="21"/>
                      <w:vertAlign w:val="superscript"/>
                      <w14:textFill>
                        <w14:solidFill>
                          <w14:schemeClr w14:val="tx1"/>
                        </w14:solidFill>
                      </w14:textFill>
                    </w:rPr>
                    <w:t>3</w:t>
                  </w:r>
                </w:p>
              </w:tc>
              <w:tc>
                <w:tcPr>
                  <w:tcW w:w="785"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59040</w:t>
                  </w:r>
                  <w:r>
                    <w:rPr>
                      <w:color w:val="000000" w:themeColor="text1"/>
                      <w:kern w:val="0"/>
                      <w:szCs w:val="21"/>
                      <w14:textFill>
                        <w14:solidFill>
                          <w14:schemeClr w14:val="tx1"/>
                        </w14:solidFill>
                      </w14:textFill>
                    </w:rPr>
                    <w:t>ugTEQ/a</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775"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0.41ngTEQ/m</w:t>
                  </w:r>
                  <w:r>
                    <w:rPr>
                      <w:color w:val="000000" w:themeColor="text1"/>
                      <w:szCs w:val="21"/>
                      <w:vertAlign w:val="superscript"/>
                      <w14:textFill>
                        <w14:solidFill>
                          <w14:schemeClr w14:val="tx1"/>
                        </w14:solidFill>
                      </w14:textFill>
                    </w:rPr>
                    <w:t>3</w:t>
                  </w:r>
                </w:p>
              </w:tc>
              <w:tc>
                <w:tcPr>
                  <w:tcW w:w="701"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6.56ugTEQ/h</w:t>
                  </w:r>
                </w:p>
              </w:tc>
              <w:tc>
                <w:tcPr>
                  <w:tcW w:w="719"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5904ugTEQ/a</w:t>
                  </w:r>
                </w:p>
              </w:tc>
            </w:tr>
          </w:tbl>
          <w:p>
            <w:pPr>
              <w:pStyle w:val="86"/>
              <w:spacing w:before="120" w:beforeLines="50" w:line="360" w:lineRule="auto"/>
              <w:textAlignment w:val="baseline"/>
              <w:rPr>
                <w:rFonts w:ascii="Times New Roman" w:hAnsi="Times New Roman" w:eastAsia="宋体" w:cs="Times New Roman"/>
                <w:b/>
                <w:color w:val="000000" w:themeColor="text1"/>
                <w:kern w:val="0"/>
                <w:sz w:val="24"/>
                <w:lang w:val="en-US"/>
                <w14:textFill>
                  <w14:solidFill>
                    <w14:schemeClr w14:val="tx1"/>
                  </w14:solidFill>
                </w14:textFill>
              </w:rPr>
            </w:pPr>
            <w:r>
              <w:rPr>
                <w:rFonts w:ascii="Times New Roman" w:hAnsi="Times New Roman" w:eastAsia="宋体" w:cs="Times New Roman"/>
                <w:b/>
                <w:color w:val="000000" w:themeColor="text1"/>
                <w:kern w:val="0"/>
                <w:sz w:val="24"/>
                <w:lang w:val="en-US"/>
                <w14:textFill>
                  <w14:solidFill>
                    <w14:schemeClr w14:val="tx1"/>
                  </w14:solidFill>
                </w14:textFill>
              </w:rPr>
              <w:t>3</w:t>
            </w:r>
            <w:r>
              <w:rPr>
                <w:rFonts w:ascii="Times New Roman" w:hAnsi="Times New Roman" w:eastAsia="宋体" w:cs="Times New Roman"/>
                <w:b/>
                <w:color w:val="000000" w:themeColor="text1"/>
                <w:kern w:val="0"/>
                <w:sz w:val="24"/>
                <w14:textFill>
                  <w14:solidFill>
                    <w14:schemeClr w14:val="tx1"/>
                  </w14:solidFill>
                </w14:textFill>
              </w:rPr>
              <w:t>、噪声</w:t>
            </w:r>
          </w:p>
          <w:p>
            <w:pPr>
              <w:adjustRightInd w:val="0"/>
              <w:spacing w:line="360" w:lineRule="auto"/>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项目噪声主要为火化炉风机</w:t>
            </w:r>
            <w:r>
              <w:rPr>
                <w:rFonts w:hint="eastAsia"/>
                <w:bCs/>
                <w:color w:val="000000" w:themeColor="text1"/>
                <w:sz w:val="24"/>
                <w14:textFill>
                  <w14:solidFill>
                    <w14:schemeClr w14:val="tx1"/>
                  </w14:solidFill>
                </w14:textFill>
              </w:rPr>
              <w:t>、水泵及悼念活动产生的</w:t>
            </w:r>
            <w:r>
              <w:rPr>
                <w:bCs/>
                <w:color w:val="000000" w:themeColor="text1"/>
                <w:sz w:val="24"/>
                <w14:textFill>
                  <w14:solidFill>
                    <w14:schemeClr w14:val="tx1"/>
                  </w14:solidFill>
                </w14:textFill>
              </w:rPr>
              <w:t>活动噪声</w:t>
            </w:r>
            <w:r>
              <w:rPr>
                <w:rFonts w:hint="eastAsia"/>
                <w:bCs/>
                <w:color w:val="000000" w:themeColor="text1"/>
                <w:sz w:val="24"/>
                <w14:textFill>
                  <w14:solidFill>
                    <w14:schemeClr w14:val="tx1"/>
                  </w14:solidFill>
                </w14:textFill>
              </w:rPr>
              <w:t>，近年来由于烟花爆竹禁燃规定，已不存在鞭炮燃放等偶发噪声。项目采取</w:t>
            </w:r>
            <w:r>
              <w:rPr>
                <w:bCs/>
                <w:color w:val="000000" w:themeColor="text1"/>
                <w:sz w:val="24"/>
                <w14:textFill>
                  <w14:solidFill>
                    <w14:schemeClr w14:val="tx1"/>
                  </w14:solidFill>
                </w14:textFill>
              </w:rPr>
              <w:t>减振、加强绿化、墙体隔音</w:t>
            </w:r>
            <w:r>
              <w:rPr>
                <w:rFonts w:hint="eastAsia"/>
                <w:bCs/>
                <w:color w:val="000000" w:themeColor="text1"/>
                <w:sz w:val="24"/>
                <w14:textFill>
                  <w14:solidFill>
                    <w14:schemeClr w14:val="tx1"/>
                  </w14:solidFill>
                </w14:textFill>
              </w:rPr>
              <w:t>等措施降噪</w:t>
            </w:r>
            <w:r>
              <w:rPr>
                <w:bCs/>
                <w:color w:val="000000" w:themeColor="text1"/>
                <w:sz w:val="24"/>
                <w14:textFill>
                  <w14:solidFill>
                    <w14:schemeClr w14:val="tx1"/>
                  </w14:solidFill>
                </w14:textFill>
              </w:rPr>
              <w:t>，项目噪声源情况见表</w:t>
            </w:r>
            <w:r>
              <w:rPr>
                <w:rFonts w:hint="eastAsia"/>
                <w:bCs/>
                <w:color w:val="000000" w:themeColor="text1"/>
                <w:sz w:val="24"/>
                <w14:textFill>
                  <w14:solidFill>
                    <w14:schemeClr w14:val="tx1"/>
                  </w14:solidFill>
                </w14:textFill>
              </w:rPr>
              <w:t>4-5</w:t>
            </w:r>
            <w:r>
              <w:rPr>
                <w:bCs/>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4-5 </w:t>
            </w:r>
            <w:r>
              <w:rPr>
                <w:b/>
                <w:color w:val="000000" w:themeColor="text1"/>
                <w:sz w:val="24"/>
                <w14:textFill>
                  <w14:solidFill>
                    <w14:schemeClr w14:val="tx1"/>
                  </w14:solidFill>
                </w14:textFill>
              </w:rPr>
              <w:t>主要设备及其噪声源强情况</w:t>
            </w:r>
            <w:r>
              <w:rPr>
                <w:rFonts w:hint="eastAsia"/>
                <w:b/>
                <w:color w:val="000000" w:themeColor="text1"/>
                <w:sz w:val="24"/>
                <w14:textFill>
                  <w14:solidFill>
                    <w14:schemeClr w14:val="tx1"/>
                  </w14:solidFill>
                </w14:textFill>
              </w:rPr>
              <w:t xml:space="preserve">  单位：dB(A)</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1"/>
              <w:gridCol w:w="2562"/>
              <w:gridCol w:w="1122"/>
              <w:gridCol w:w="1419"/>
              <w:gridCol w:w="1311"/>
              <w:gridCol w:w="12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vAlign w:val="center"/>
                </w:tcPr>
                <w:p>
                  <w:pPr>
                    <w:pStyle w:val="86"/>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序号</w:t>
                  </w:r>
                </w:p>
              </w:tc>
              <w:tc>
                <w:tcPr>
                  <w:tcW w:w="1560" w:type="pct"/>
                  <w:vAlign w:val="center"/>
                </w:tcPr>
                <w:p>
                  <w:pPr>
                    <w:pStyle w:val="86"/>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主要噪声源</w:t>
                  </w:r>
                </w:p>
              </w:tc>
              <w:tc>
                <w:tcPr>
                  <w:tcW w:w="683" w:type="pct"/>
                  <w:vAlign w:val="center"/>
                </w:tcPr>
                <w:p>
                  <w:pPr>
                    <w:pStyle w:val="86"/>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源强</w:t>
                  </w:r>
                </w:p>
              </w:tc>
              <w:tc>
                <w:tcPr>
                  <w:tcW w:w="864" w:type="pct"/>
                  <w:vAlign w:val="center"/>
                </w:tcPr>
                <w:p>
                  <w:pPr>
                    <w:pStyle w:val="86"/>
                    <w:jc w:val="center"/>
                    <w:rPr>
                      <w:rFonts w:ascii="Times New Roman" w:hAnsi="Times New Roman" w:eastAsia="宋体" w:cs="Times New Roman"/>
                      <w:b/>
                      <w:bCs/>
                      <w:color w:val="000000" w:themeColor="text1"/>
                      <w:kern w:val="0"/>
                      <w:szCs w:val="21"/>
                      <w:lang w:val="en-US"/>
                      <w14:textFill>
                        <w14:solidFill>
                          <w14:schemeClr w14:val="tx1"/>
                        </w14:solidFill>
                      </w14:textFill>
                    </w:rPr>
                  </w:pPr>
                  <w:r>
                    <w:rPr>
                      <w:rFonts w:hint="eastAsia" w:ascii="Times New Roman" w:hAnsi="Times New Roman" w:eastAsia="宋体" w:cs="Times New Roman"/>
                      <w:b/>
                      <w:bCs/>
                      <w:color w:val="000000" w:themeColor="text1"/>
                      <w:kern w:val="0"/>
                      <w:szCs w:val="21"/>
                      <w14:textFill>
                        <w14:solidFill>
                          <w14:schemeClr w14:val="tx1"/>
                        </w14:solidFill>
                      </w14:textFill>
                    </w:rPr>
                    <w:t>位置</w:t>
                  </w:r>
                  <w:r>
                    <w:rPr>
                      <w:rFonts w:hint="eastAsia" w:ascii="Times New Roman" w:hAnsi="Times New Roman" w:eastAsia="宋体" w:cs="Times New Roman"/>
                      <w:b/>
                      <w:bCs/>
                      <w:color w:val="000000" w:themeColor="text1"/>
                      <w:kern w:val="0"/>
                      <w:szCs w:val="21"/>
                      <w:lang w:val="en-US"/>
                      <w14:textFill>
                        <w14:solidFill>
                          <w14:schemeClr w14:val="tx1"/>
                        </w14:solidFill>
                      </w14:textFill>
                    </w:rPr>
                    <w:t>/来源</w:t>
                  </w:r>
                </w:p>
              </w:tc>
              <w:tc>
                <w:tcPr>
                  <w:tcW w:w="798" w:type="pct"/>
                  <w:vAlign w:val="center"/>
                </w:tcPr>
                <w:p>
                  <w:pPr>
                    <w:pStyle w:val="86"/>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Times New Roman" w:hAnsi="Times New Roman" w:eastAsia="宋体" w:cs="Times New Roman"/>
                      <w:b/>
                      <w:bCs/>
                      <w:color w:val="000000" w:themeColor="text1"/>
                      <w:kern w:val="0"/>
                      <w:szCs w:val="21"/>
                      <w14:textFill>
                        <w14:solidFill>
                          <w14:schemeClr w14:val="tx1"/>
                        </w14:solidFill>
                      </w14:textFill>
                    </w:rPr>
                    <w:t>措施</w:t>
                  </w:r>
                </w:p>
              </w:tc>
              <w:tc>
                <w:tcPr>
                  <w:tcW w:w="754" w:type="pct"/>
                  <w:vAlign w:val="center"/>
                </w:tcPr>
                <w:p>
                  <w:pPr>
                    <w:pStyle w:val="86"/>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Times New Roman" w:hAnsi="Times New Roman" w:eastAsia="宋体" w:cs="Times New Roman"/>
                      <w:b/>
                      <w:bCs/>
                      <w:color w:val="000000" w:themeColor="text1"/>
                      <w:kern w:val="0"/>
                      <w:szCs w:val="21"/>
                      <w14:textFill>
                        <w14:solidFill>
                          <w14:schemeClr w14:val="tx1"/>
                        </w14:solidFill>
                      </w14:textFill>
                    </w:rPr>
                    <w:t>降噪后源强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lang w:val="en-US"/>
                      <w14:textFill>
                        <w14:solidFill>
                          <w14:schemeClr w14:val="tx1"/>
                        </w14:solidFill>
                      </w14:textFill>
                    </w:rPr>
                    <w:t>1</w:t>
                  </w:r>
                </w:p>
              </w:tc>
              <w:tc>
                <w:tcPr>
                  <w:tcW w:w="1560"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风机运行噪声</w:t>
                  </w:r>
                </w:p>
              </w:tc>
              <w:tc>
                <w:tcPr>
                  <w:tcW w:w="683"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95</w:t>
                  </w:r>
                </w:p>
              </w:tc>
              <w:tc>
                <w:tcPr>
                  <w:tcW w:w="864"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后勤楼屋顶</w:t>
                  </w:r>
                </w:p>
              </w:tc>
              <w:tc>
                <w:tcPr>
                  <w:tcW w:w="798" w:type="pct"/>
                  <w:vMerge w:val="restar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减振、加强绿化、墙体隔音</w:t>
                  </w:r>
                </w:p>
              </w:tc>
              <w:tc>
                <w:tcPr>
                  <w:tcW w:w="754"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lang w:val="en-US"/>
                      <w14:textFill>
                        <w14:solidFill>
                          <w14:schemeClr w14:val="tx1"/>
                        </w14:solidFill>
                      </w14:textFill>
                    </w:rPr>
                    <w:t>2</w:t>
                  </w:r>
                </w:p>
              </w:tc>
              <w:tc>
                <w:tcPr>
                  <w:tcW w:w="1560"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水泵</w:t>
                  </w:r>
                </w:p>
              </w:tc>
              <w:tc>
                <w:tcPr>
                  <w:tcW w:w="683"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90</w:t>
                  </w:r>
                </w:p>
              </w:tc>
              <w:tc>
                <w:tcPr>
                  <w:tcW w:w="864"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污水处理设施</w:t>
                  </w:r>
                </w:p>
              </w:tc>
              <w:tc>
                <w:tcPr>
                  <w:tcW w:w="798" w:type="pct"/>
                  <w:vMerge w:val="continue"/>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p>
              </w:tc>
              <w:tc>
                <w:tcPr>
                  <w:tcW w:w="754"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42"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lang w:val="en-US"/>
                      <w14:textFill>
                        <w14:solidFill>
                          <w14:schemeClr w14:val="tx1"/>
                        </w14:solidFill>
                      </w14:textFill>
                    </w:rPr>
                    <w:t>3</w:t>
                  </w:r>
                </w:p>
              </w:tc>
              <w:tc>
                <w:tcPr>
                  <w:tcW w:w="1560"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活动噪声</w:t>
                  </w:r>
                </w:p>
              </w:tc>
              <w:tc>
                <w:tcPr>
                  <w:tcW w:w="683"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85</w:t>
                  </w:r>
                </w:p>
              </w:tc>
              <w:tc>
                <w:tcPr>
                  <w:tcW w:w="864" w:type="pct"/>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悼念活动</w:t>
                  </w:r>
                </w:p>
              </w:tc>
              <w:tc>
                <w:tcPr>
                  <w:tcW w:w="798" w:type="pct"/>
                  <w:vMerge w:val="continue"/>
                  <w:vAlign w:val="center"/>
                </w:tcPr>
                <w:p>
                  <w:pPr>
                    <w:pStyle w:val="86"/>
                    <w:jc w:val="center"/>
                    <w:rPr>
                      <w:rFonts w:ascii="Times New Roman" w:hAnsi="Times New Roman" w:eastAsia="宋体" w:cs="Times New Roman"/>
                      <w:color w:val="000000" w:themeColor="text1"/>
                      <w:kern w:val="0"/>
                      <w:szCs w:val="21"/>
                      <w14:textFill>
                        <w14:solidFill>
                          <w14:schemeClr w14:val="tx1"/>
                        </w14:solidFill>
                      </w14:textFill>
                    </w:rPr>
                  </w:pPr>
                </w:p>
              </w:tc>
              <w:tc>
                <w:tcPr>
                  <w:tcW w:w="754" w:type="pct"/>
                  <w:vAlign w:val="center"/>
                </w:tcPr>
                <w:p>
                  <w:pPr>
                    <w:pStyle w:val="86"/>
                    <w:jc w:val="center"/>
                    <w:rPr>
                      <w:rFonts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000000" w:themeColor="text1"/>
                      <w:kern w:val="0"/>
                      <w:szCs w:val="21"/>
                      <w:lang w:val="en-US"/>
                      <w14:textFill>
                        <w14:solidFill>
                          <w14:schemeClr w14:val="tx1"/>
                        </w14:solidFill>
                      </w14:textFill>
                    </w:rPr>
                    <w:t>65</w:t>
                  </w:r>
                </w:p>
              </w:tc>
            </w:tr>
          </w:tbl>
          <w:p>
            <w:pPr>
              <w:spacing w:before="120" w:beforeLines="50" w:line="360" w:lineRule="auto"/>
              <w:ind w:firstLine="480" w:firstLineChars="200"/>
              <w:rPr>
                <w:color w:val="000000" w:themeColor="text1"/>
                <w:sz w:val="24"/>
                <w14:textFill>
                  <w14:solidFill>
                    <w14:schemeClr w14:val="tx1"/>
                  </w14:solidFill>
                </w14:textFill>
              </w:rPr>
            </w:pPr>
            <w:r>
              <w:rPr>
                <w:snapToGrid w:val="0"/>
                <w:color w:val="000000" w:themeColor="text1"/>
                <w:kern w:val="0"/>
                <w:sz w:val="24"/>
                <w14:textFill>
                  <w14:solidFill>
                    <w14:schemeClr w14:val="tx1"/>
                  </w14:solidFill>
                </w14:textFill>
              </w:rPr>
              <w:t>根据拟建项目设备声源的特征和周围声学环境的特点，视设备声源为点声源，声场为半自由声场，依据《环境影响评价技术导则-声环境》（HJ 2.4-2009）中的数学模型，</w:t>
            </w:r>
            <w:r>
              <w:rPr>
                <w:color w:val="000000" w:themeColor="text1"/>
                <w:sz w:val="24"/>
                <w14:textFill>
                  <w14:solidFill>
                    <w14:schemeClr w14:val="tx1"/>
                  </w14:solidFill>
                </w14:textFill>
              </w:rPr>
              <w:t>点声源选用半自由场点声源几何发散衰减公式和多点源相互叠加公式。鉴于空气吸收引起的衰减很小，且频率、空气相对湿度等因素具有较大的不确定性，所以不考虑空气吸收引起的衰减。在预测中主要考虑几何发散衰减。每个点源对预测点的声级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按下式计算：</w:t>
            </w:r>
          </w:p>
          <w:p>
            <w:pPr>
              <w:spacing w:line="360" w:lineRule="auto"/>
              <w:jc w:val="center"/>
              <w:rPr>
                <w:color w:val="000000" w:themeColor="text1"/>
                <w14:textFill>
                  <w14:solidFill>
                    <w14:schemeClr w14:val="tx1"/>
                  </w14:solidFill>
                </w14:textFill>
              </w:rPr>
            </w:pPr>
            <w:r>
              <w:rPr>
                <w:color w:val="000000" w:themeColor="text1"/>
                <w:sz w:val="24"/>
                <w14:textFill>
                  <w14:solidFill>
                    <w14:schemeClr w14:val="tx1"/>
                  </w14:solidFill>
                </w14:textFill>
              </w:rPr>
              <w:object>
                <v:shape id="_x0000_i1025" o:spt="75" type="#_x0000_t75" style="height:33pt;width:124.4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——距离声源r处的声级，dB（A）；</w:t>
            </w:r>
          </w:p>
          <w:p>
            <w:pPr>
              <w:spacing w:line="360" w:lineRule="auto"/>
              <w:ind w:firstLine="1200" w:firstLineChars="500"/>
              <w:rPr>
                <w:color w:val="000000" w:themeColor="text1"/>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p0</w:t>
            </w:r>
            <w:r>
              <w:rPr>
                <w:color w:val="000000" w:themeColor="text1"/>
                <w:sz w:val="24"/>
                <w14:textFill>
                  <w14:solidFill>
                    <w14:schemeClr w14:val="tx1"/>
                  </w14:solidFill>
                </w14:textFill>
              </w:rPr>
              <w:t>——距离声源r</w:t>
            </w:r>
            <w:r>
              <w:rPr>
                <w:color w:val="000000" w:themeColor="text1"/>
                <w:sz w:val="24"/>
                <w:vertAlign w:val="subscript"/>
                <w14:textFill>
                  <w14:solidFill>
                    <w14:schemeClr w14:val="tx1"/>
                  </w14:solidFill>
                </w14:textFill>
              </w:rPr>
              <w:t>o</w:t>
            </w:r>
            <w:r>
              <w:rPr>
                <w:color w:val="000000" w:themeColor="text1"/>
                <w:sz w:val="24"/>
                <w14:textFill>
                  <w14:solidFill>
                    <w14:schemeClr w14:val="tx1"/>
                  </w14:solidFill>
                </w14:textFill>
              </w:rPr>
              <w:t>处的声级，dB（A）；</w:t>
            </w:r>
          </w:p>
          <w:p>
            <w:pPr>
              <w:spacing w:line="360" w:lineRule="auto"/>
              <w:ind w:firstLine="1200" w:firstLineChars="500"/>
              <w:rPr>
                <w:color w:val="000000" w:themeColor="text1"/>
                <w14:textFill>
                  <w14:solidFill>
                    <w14:schemeClr w14:val="tx1"/>
                  </w14:solidFill>
                </w14:textFill>
              </w:rPr>
            </w:pPr>
            <w:r>
              <w:rPr>
                <w:color w:val="000000" w:themeColor="text1"/>
                <w:sz w:val="24"/>
                <w14:textFill>
                  <w14:solidFill>
                    <w14:schemeClr w14:val="tx1"/>
                  </w14:solidFill>
                </w14:textFill>
              </w:rPr>
              <w:t>R——预测点至声源距离，m；</w:t>
            </w:r>
          </w:p>
          <w:p>
            <w:pPr>
              <w:spacing w:line="360" w:lineRule="auto"/>
              <w:ind w:firstLine="1200" w:firstLineChars="500"/>
              <w:rPr>
                <w:color w:val="000000" w:themeColor="text1"/>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o</w:t>
            </w:r>
            <w:r>
              <w:rPr>
                <w:color w:val="000000" w:themeColor="text1"/>
                <w:sz w:val="24"/>
                <w14:textFill>
                  <w14:solidFill>
                    <w14:schemeClr w14:val="tx1"/>
                  </w14:solidFill>
                </w14:textFill>
              </w:rPr>
              <w:t>——监测点至声源距离，m；</w:t>
            </w:r>
          </w:p>
          <w:p>
            <w:pPr>
              <w:spacing w:line="360" w:lineRule="auto"/>
              <w:ind w:firstLine="1200" w:firstLineChars="500"/>
              <w:rPr>
                <w:color w:val="000000" w:themeColor="text1"/>
                <w14:textFill>
                  <w14:solidFill>
                    <w14:schemeClr w14:val="tx1"/>
                  </w14:solidFill>
                </w14:textFill>
              </w:rPr>
            </w:pPr>
            <w:r>
              <w:rPr>
                <w:rFonts w:ascii="Cambria Math" w:hAnsi="Cambria Math" w:cs="Cambria Math"/>
                <w:color w:val="000000" w:themeColor="text1"/>
                <w:sz w:val="24"/>
                <w14:textFill>
                  <w14:solidFill>
                    <w14:schemeClr w14:val="tx1"/>
                  </w14:solidFill>
                </w14:textFill>
              </w:rPr>
              <w:t>△</w:t>
            </w:r>
            <w:r>
              <w:rPr>
                <w:color w:val="000000" w:themeColor="text1"/>
                <w:sz w:val="24"/>
                <w14:textFill>
                  <w14:solidFill>
                    <w14:schemeClr w14:val="tx1"/>
                  </w14:solidFill>
                </w14:textFill>
              </w:rPr>
              <w:t>L——几何发散、声屏障等引起的噪声衰减量dB（A）。</w:t>
            </w:r>
          </w:p>
          <w:p>
            <w:pPr>
              <w:spacing w:line="360" w:lineRule="auto"/>
              <w:ind w:firstLine="480"/>
              <w:rPr>
                <w:color w:val="000000" w:themeColor="text1"/>
                <w14:textFill>
                  <w14:solidFill>
                    <w14:schemeClr w14:val="tx1"/>
                  </w14:solidFill>
                </w14:textFill>
              </w:rPr>
            </w:pPr>
            <w:r>
              <w:rPr>
                <w:color w:val="000000" w:themeColor="text1"/>
                <w:sz w:val="24"/>
                <w14:textFill>
                  <w14:solidFill>
                    <w14:schemeClr w14:val="tx1"/>
                  </w14:solidFill>
                </w14:textFill>
              </w:rPr>
              <w:t>多点源声级迭加模式</w:t>
            </w:r>
          </w:p>
          <w:p>
            <w:pPr>
              <w:spacing w:line="360" w:lineRule="auto"/>
              <w:ind w:firstLine="480"/>
              <w:rPr>
                <w:color w:val="000000" w:themeColor="text1"/>
                <w14:textFill>
                  <w14:solidFill>
                    <w14:schemeClr w14:val="tx1"/>
                  </w14:solidFill>
                </w14:textFill>
              </w:rPr>
            </w:pPr>
            <w:r>
              <w:rPr>
                <w:color w:val="000000" w:themeColor="text1"/>
                <w:sz w:val="24"/>
                <w14:textFill>
                  <w14:solidFill>
                    <w14:schemeClr w14:val="tx1"/>
                  </w14:solidFill>
                </w14:textFill>
              </w:rPr>
              <w:t>多个点源在预测点产生的总等效声级[Leq（总）]采用以下计算模式：</w:t>
            </w:r>
          </w:p>
          <w:p>
            <w:pPr>
              <w:spacing w:line="360" w:lineRule="auto"/>
              <w:jc w:val="center"/>
              <w:rPr>
                <w:color w:val="000000" w:themeColor="text1"/>
                <w14:textFill>
                  <w14:solidFill>
                    <w14:schemeClr w14:val="tx1"/>
                  </w14:solidFill>
                </w14:textFill>
              </w:rPr>
            </w:pPr>
            <w:r>
              <w:rPr>
                <w:color w:val="000000" w:themeColor="text1"/>
                <w:sz w:val="24"/>
                <w14:textFill>
                  <w14:solidFill>
                    <w14:schemeClr w14:val="tx1"/>
                  </w14:solidFill>
                </w14:textFill>
              </w:rPr>
              <w:object>
                <v:shape id="_x0000_i1026" o:spt="75" type="#_x0000_t75" style="height:36pt;width:114pt;" o:ole="t" fillcolor="#6D6D6D"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——预测点的总等效声级dB（A）；</w:t>
            </w:r>
          </w:p>
          <w:p>
            <w:pPr>
              <w:spacing w:line="360" w:lineRule="auto"/>
              <w:ind w:firstLine="1200" w:firstLineChars="500"/>
              <w:rPr>
                <w:color w:val="000000" w:themeColor="text1"/>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A（i）</w:t>
            </w:r>
            <w:r>
              <w:rPr>
                <w:color w:val="000000" w:themeColor="text1"/>
                <w:sz w:val="24"/>
                <w14:textFill>
                  <w14:solidFill>
                    <w14:schemeClr w14:val="tx1"/>
                  </w14:solidFill>
                </w14:textFill>
              </w:rPr>
              <w:t>——第i个声源对某个预测点的等效声级dB（A）；</w:t>
            </w:r>
          </w:p>
          <w:p>
            <w:pPr>
              <w:spacing w:line="360" w:lineRule="auto"/>
              <w:ind w:firstLine="1200" w:firstLineChars="500"/>
              <w:rPr>
                <w:color w:val="000000" w:themeColor="text1"/>
                <w14:textFill>
                  <w14:solidFill>
                    <w14:schemeClr w14:val="tx1"/>
                  </w14:solidFill>
                </w14:textFill>
              </w:rPr>
            </w:pPr>
            <w:r>
              <w:rPr>
                <w:color w:val="000000" w:themeColor="text1"/>
                <w:sz w:val="24"/>
                <w14:textFill>
                  <w14:solidFill>
                    <w14:schemeClr w14:val="tx1"/>
                  </w14:solidFill>
                </w14:textFill>
              </w:rPr>
              <w:t>n——噪声源数。</w:t>
            </w:r>
          </w:p>
          <w:p>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经计算，拟建项目厂界噪声环境影响预测结果见下</w:t>
            </w:r>
            <w:r>
              <w:rPr>
                <w:rFonts w:hint="eastAsia"/>
                <w:snapToGrid w:val="0"/>
                <w:color w:val="000000" w:themeColor="text1"/>
                <w:kern w:val="0"/>
                <w:sz w:val="24"/>
                <w14:textFill>
                  <w14:solidFill>
                    <w14:schemeClr w14:val="tx1"/>
                  </w14:solidFill>
                </w14:textFill>
              </w:rPr>
              <w:t>4-6</w:t>
            </w:r>
            <w:r>
              <w:rPr>
                <w:snapToGrid w:val="0"/>
                <w:color w:val="000000" w:themeColor="text1"/>
                <w:kern w:val="0"/>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4-6</w:t>
            </w:r>
            <w:r>
              <w:rPr>
                <w:b/>
                <w:color w:val="000000" w:themeColor="text1"/>
                <w:sz w:val="24"/>
                <w14:textFill>
                  <w14:solidFill>
                    <w14:schemeClr w14:val="tx1"/>
                  </w14:solidFill>
                </w14:textFill>
              </w:rPr>
              <w:t xml:space="preserve"> 项目厂界噪声预测结果一览表  单位:dB（A）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37"/>
              <w:gridCol w:w="2519"/>
              <w:gridCol w:w="1959"/>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点位</w:t>
                  </w:r>
                </w:p>
              </w:tc>
              <w:tc>
                <w:tcPr>
                  <w:tcW w:w="1534"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时段</w:t>
                  </w:r>
                </w:p>
              </w:tc>
              <w:tc>
                <w:tcPr>
                  <w:tcW w:w="119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103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40" w:type="pct"/>
                  <w:vMerge w:val="restart"/>
                  <w:vAlign w:val="center"/>
                </w:tcPr>
                <w:p>
                  <w:pPr>
                    <w:jc w:val="center"/>
                    <w:rPr>
                      <w:color w:val="000000" w:themeColor="text1"/>
                      <w:szCs w:val="21"/>
                      <w14:textFill>
                        <w14:solidFill>
                          <w14:schemeClr w14:val="tx1"/>
                        </w14:solidFill>
                      </w14:textFill>
                    </w:rPr>
                  </w:pPr>
                  <w:bookmarkStart w:id="4" w:name="_Hlk410919906"/>
                  <w:r>
                    <w:rPr>
                      <w:color w:val="000000" w:themeColor="text1"/>
                      <w:szCs w:val="21"/>
                      <w14:textFill>
                        <w14:solidFill>
                          <w14:schemeClr w14:val="tx1"/>
                        </w14:solidFill>
                      </w14:textFill>
                    </w:rPr>
                    <w:t>N1东厂界</w:t>
                  </w: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26</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continue"/>
                  <w:vAlign w:val="center"/>
                </w:tcPr>
                <w:p>
                  <w:pPr>
                    <w:jc w:val="center"/>
                    <w:rPr>
                      <w:color w:val="000000" w:themeColor="text1"/>
                      <w:szCs w:val="21"/>
                      <w14:textFill>
                        <w14:solidFill>
                          <w14:schemeClr w14:val="tx1"/>
                        </w14:solidFill>
                      </w14:textFill>
                    </w:rPr>
                  </w:pP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N2南厂界</w:t>
                  </w: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26</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continue"/>
                  <w:vAlign w:val="center"/>
                </w:tcPr>
                <w:p>
                  <w:pPr>
                    <w:jc w:val="center"/>
                    <w:rPr>
                      <w:color w:val="000000" w:themeColor="text1"/>
                      <w:szCs w:val="21"/>
                      <w14:textFill>
                        <w14:solidFill>
                          <w14:schemeClr w14:val="tx1"/>
                        </w14:solidFill>
                      </w14:textFill>
                    </w:rPr>
                  </w:pP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N3西厂界</w:t>
                  </w: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47</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continue"/>
                  <w:vAlign w:val="center"/>
                </w:tcPr>
                <w:p>
                  <w:pPr>
                    <w:jc w:val="center"/>
                    <w:rPr>
                      <w:color w:val="000000" w:themeColor="text1"/>
                      <w:szCs w:val="21"/>
                      <w14:textFill>
                        <w14:solidFill>
                          <w14:schemeClr w14:val="tx1"/>
                        </w14:solidFill>
                      </w14:textFill>
                    </w:rPr>
                  </w:pP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N4北厂界</w:t>
                  </w: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48.26</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continue"/>
                  <w:vAlign w:val="center"/>
                </w:tcPr>
                <w:p>
                  <w:pPr>
                    <w:jc w:val="center"/>
                    <w:rPr>
                      <w:color w:val="000000" w:themeColor="text1"/>
                      <w:szCs w:val="21"/>
                      <w14:textFill>
                        <w14:solidFill>
                          <w14:schemeClr w14:val="tx1"/>
                        </w14:solidFill>
                      </w14:textFill>
                    </w:rPr>
                  </w:pP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下岭孜</w:t>
                  </w: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15.35</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Merge w:val="continue"/>
                  <w:vAlign w:val="center"/>
                </w:tcPr>
                <w:p>
                  <w:pPr>
                    <w:jc w:val="center"/>
                    <w:rPr>
                      <w:color w:val="000000" w:themeColor="text1"/>
                      <w:szCs w:val="21"/>
                      <w14:textFill>
                        <w14:solidFill>
                          <w14:schemeClr w14:val="tx1"/>
                        </w14:solidFill>
                      </w14:textFill>
                    </w:rPr>
                  </w:pPr>
                </w:p>
              </w:tc>
              <w:tc>
                <w:tcPr>
                  <w:tcW w:w="15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1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c>
                <w:tcPr>
                  <w:tcW w:w="3760" w:type="pct"/>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GB 12348-2008 </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 昼间/夜间：</w:t>
                  </w:r>
                  <w:r>
                    <w:rPr>
                      <w:rFonts w:hint="eastAsia"/>
                      <w:color w:val="000000" w:themeColor="text1"/>
                      <w:szCs w:val="21"/>
                      <w14:textFill>
                        <w14:solidFill>
                          <w14:schemeClr w14:val="tx1"/>
                        </w14:solidFill>
                      </w14:textFill>
                    </w:rPr>
                    <w:t>60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w:t>
                  </w:r>
                </w:p>
              </w:tc>
            </w:tr>
            <w:bookmarkEnd w:id="4"/>
          </w:tbl>
          <w:p>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由上表可知，项目夜间不开展工作，仅昼间生产。</w:t>
            </w:r>
            <w:r>
              <w:rPr>
                <w:rFonts w:hint="eastAsia"/>
                <w:color w:val="000000" w:themeColor="text1"/>
                <w:sz w:val="24"/>
                <w14:textFill>
                  <w14:solidFill>
                    <w14:schemeClr w14:val="tx1"/>
                  </w14:solidFill>
                </w14:textFill>
              </w:rPr>
              <w:t>通过</w:t>
            </w:r>
            <w:r>
              <w:rPr>
                <w:color w:val="000000" w:themeColor="text1"/>
                <w:sz w:val="24"/>
                <w14:textFill>
                  <w14:solidFill>
                    <w14:schemeClr w14:val="tx1"/>
                  </w14:solidFill>
                </w14:textFill>
              </w:rPr>
              <w:t>选用低噪设备，采取相应的隔声、消声、减振等措施后，经分析，项目正常运营时，各向厂界</w:t>
            </w:r>
            <w:r>
              <w:rPr>
                <w:rFonts w:hint="eastAsia"/>
                <w:color w:val="000000" w:themeColor="text1"/>
                <w:sz w:val="24"/>
                <w14:textFill>
                  <w14:solidFill>
                    <w14:schemeClr w14:val="tx1"/>
                  </w14:solidFill>
                </w14:textFill>
              </w:rPr>
              <w:t>及敏感点</w:t>
            </w:r>
            <w:r>
              <w:rPr>
                <w:color w:val="000000" w:themeColor="text1"/>
                <w:sz w:val="24"/>
                <w14:textFill>
                  <w14:solidFill>
                    <w14:schemeClr w14:val="tx1"/>
                  </w14:solidFill>
                </w14:textFill>
              </w:rPr>
              <w:t>噪声能达到《工业企业厂界环境噪声排放标准》（GB 12348-2008）中</w:t>
            </w:r>
            <w:r>
              <w:rPr>
                <w:rFonts w:hint="eastAsia"/>
                <w:color w:val="000000" w:themeColor="text1"/>
                <w:sz w:val="24"/>
                <w14:textFill>
                  <w14:solidFill>
                    <w14:schemeClr w14:val="tx1"/>
                  </w14:solidFill>
                </w14:textFill>
              </w:rPr>
              <w:t>2类</w:t>
            </w:r>
            <w:r>
              <w:rPr>
                <w:color w:val="000000" w:themeColor="text1"/>
                <w:sz w:val="24"/>
                <w14:textFill>
                  <w14:solidFill>
                    <w14:schemeClr w14:val="tx1"/>
                  </w14:solidFill>
                </w14:textFill>
              </w:rPr>
              <w:t>标准限值排放，因此本项目的设备运行噪声对外环境影响不大。</w:t>
            </w:r>
          </w:p>
          <w:p>
            <w:pPr>
              <w:pStyle w:val="20"/>
              <w:tabs>
                <w:tab w:val="left" w:pos="0"/>
              </w:tabs>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4、固体废物</w:t>
            </w:r>
          </w:p>
          <w:p>
            <w:pPr>
              <w:tabs>
                <w:tab w:val="left" w:pos="1323"/>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项目固废</w:t>
            </w:r>
            <w:r>
              <w:rPr>
                <w:rFonts w:hint="eastAsia"/>
                <w:color w:val="000000" w:themeColor="text1"/>
                <w:sz w:val="24"/>
                <w14:textFill>
                  <w14:solidFill>
                    <w14:schemeClr w14:val="tx1"/>
                  </w14:solidFill>
                </w14:textFill>
              </w:rPr>
              <w:t>主要有遗体骨灰等一般固废；</w:t>
            </w:r>
            <w:r>
              <w:rPr>
                <w:color w:val="000000" w:themeColor="text1"/>
                <w:sz w:val="24"/>
                <w14:textFill>
                  <w14:solidFill>
                    <w14:schemeClr w14:val="tx1"/>
                  </w14:solidFill>
                </w14:textFill>
              </w:rPr>
              <w:t>布袋收集</w:t>
            </w:r>
            <w:r>
              <w:rPr>
                <w:rFonts w:hint="eastAsia"/>
                <w:color w:val="000000" w:themeColor="text1"/>
                <w:sz w:val="24"/>
                <w14:textFill>
                  <w14:solidFill>
                    <w14:schemeClr w14:val="tx1"/>
                  </w14:solidFill>
                </w14:textFill>
              </w:rPr>
              <w:t>灰渣、废活性炭等危险固废以及</w:t>
            </w:r>
            <w:r>
              <w:rPr>
                <w:color w:val="000000" w:themeColor="text1"/>
                <w:sz w:val="24"/>
                <w14:textFill>
                  <w14:solidFill>
                    <w14:schemeClr w14:val="tx1"/>
                  </w14:solidFill>
                </w14:textFill>
              </w:rPr>
              <w:t>生活垃圾</w:t>
            </w:r>
            <w:r>
              <w:rPr>
                <w:rFonts w:hint="eastAsia"/>
                <w:color w:val="000000" w:themeColor="text1"/>
                <w:sz w:val="24"/>
                <w14:textFill>
                  <w14:solidFill>
                    <w14:schemeClr w14:val="tx1"/>
                  </w14:solidFill>
                </w14:textFill>
              </w:rPr>
              <w:t>等。本项目不设遗物焚烧炉，禁止家属携带花圈、纸祭品、遗物等物品至本项目内焚烧，故本项目不产生遗物焚烧灰渣。</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（1）一般固废及生活垃圾</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①骨灰</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项目年处理遗体3200具，根据建设单位生产资料，每具遗体产生骨灰约1.5kg/具计，则骨灰产生量为4.8t/a。骨灰由家属认领处理。</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②生活垃圾</w:t>
            </w:r>
          </w:p>
          <w:p>
            <w:pPr>
              <w:tabs>
                <w:tab w:val="left" w:pos="1323"/>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项目年运营</w:t>
            </w:r>
            <w:r>
              <w:rPr>
                <w:rFonts w:hint="eastAsia"/>
                <w:color w:val="000000" w:themeColor="text1"/>
                <w:sz w:val="24"/>
                <w14:textFill>
                  <w14:solidFill>
                    <w14:schemeClr w14:val="tx1"/>
                  </w14:solidFill>
                </w14:textFill>
              </w:rPr>
              <w:t>330</w:t>
            </w:r>
            <w:r>
              <w:rPr>
                <w:color w:val="000000" w:themeColor="text1"/>
                <w:sz w:val="24"/>
                <w14:textFill>
                  <w14:solidFill>
                    <w14:schemeClr w14:val="tx1"/>
                  </w14:solidFill>
                </w14:textFill>
              </w:rPr>
              <w:t>天，劳动定员</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人，生活垃圾产生量按0.5kg/人·d 计，则生活垃圾产生量为</w:t>
            </w:r>
            <w:r>
              <w:rPr>
                <w:rFonts w:hint="eastAsia"/>
                <w:color w:val="000000" w:themeColor="text1"/>
                <w:sz w:val="24"/>
                <w14:textFill>
                  <w14:solidFill>
                    <w14:schemeClr w14:val="tx1"/>
                  </w14:solidFill>
                </w14:textFill>
              </w:rPr>
              <w:t>5.445</w:t>
            </w:r>
            <w:r>
              <w:rPr>
                <w:color w:val="000000" w:themeColor="text1"/>
                <w:sz w:val="24"/>
                <w14:textFill>
                  <w14:solidFill>
                    <w14:schemeClr w14:val="tx1"/>
                  </w14:solidFill>
                </w14:textFill>
              </w:rPr>
              <w:t>t/a。生活垃圾统一收集后由当地环卫部门清运处理。</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本项目固废处置情况见表4-6。</w:t>
            </w:r>
          </w:p>
          <w:p>
            <w:pPr>
              <w:pStyle w:val="18"/>
              <w:jc w:val="center"/>
              <w:rPr>
                <w:b/>
                <w:color w:val="000000" w:themeColor="text1"/>
                <w:sz w:val="24"/>
                <w:szCs w:val="24"/>
                <w14:textFill>
                  <w14:solidFill>
                    <w14:schemeClr w14:val="tx1"/>
                  </w14:solidFill>
                </w14:textFill>
              </w:rPr>
            </w:pPr>
            <w:r>
              <w:rPr>
                <w:rFonts w:hint="eastAsia" w:ascii="Times New Roman"/>
                <w:b/>
                <w:color w:val="000000" w:themeColor="text1"/>
                <w:sz w:val="24"/>
                <w:szCs w:val="24"/>
                <w14:textFill>
                  <w14:solidFill>
                    <w14:schemeClr w14:val="tx1"/>
                  </w14:solidFill>
                </w14:textFill>
              </w:rPr>
              <w:t>表4-7 固废处置情况一览表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693"/>
              <w:gridCol w:w="1729"/>
              <w:gridCol w:w="4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0"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1031"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固体废物名称</w:t>
                  </w:r>
                </w:p>
              </w:tc>
              <w:tc>
                <w:tcPr>
                  <w:tcW w:w="1053"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产生量（t/a）</w:t>
                  </w:r>
                </w:p>
              </w:tc>
              <w:tc>
                <w:tcPr>
                  <w:tcW w:w="2496"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3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员工生活垃圾</w:t>
                  </w:r>
                </w:p>
              </w:tc>
              <w:tc>
                <w:tcPr>
                  <w:tcW w:w="105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5.445</w:t>
                  </w:r>
                </w:p>
              </w:tc>
              <w:tc>
                <w:tcPr>
                  <w:tcW w:w="249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集中收集后，委托当地环卫部门清运处理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3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骨灰</w:t>
                  </w:r>
                </w:p>
              </w:tc>
              <w:tc>
                <w:tcPr>
                  <w:tcW w:w="105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249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家属认领</w:t>
                  </w:r>
                </w:p>
              </w:tc>
            </w:tr>
          </w:tbl>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（2）危险废物</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①除尘灰渣</w:t>
            </w:r>
          </w:p>
          <w:p>
            <w:pPr>
              <w:tabs>
                <w:tab w:val="left" w:pos="1323"/>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火化炉废气采用“急冷+布袋除尘器+活性炭吸附”工艺进行处理，在废气处理设备运行期间需定期对布袋除尘器进行清灰处理。根据本项目大气专项评价可知，布袋除尘器拦截的飞灰为9.50t/a。除尘灰渣主要来自于遗体火化焚烧产生的烟气，除尘灰渣属于危险废物（类别为HW18 焚烧处置残渣，废物代码为772-002-18），收集后于危废间暂存。定期委托有资质单位进行收集处理。</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②废活性炭</w:t>
            </w:r>
          </w:p>
          <w:p>
            <w:pPr>
              <w:pStyle w:val="2"/>
              <w:spacing w:after="0" w:line="360" w:lineRule="auto"/>
              <w:ind w:left="0" w:leftChars="0" w:firstLine="480" w:firstLineChars="20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项目火化炉废气处理工艺末端为活性炭喷洒吸附，根据本项目所选用的火化机相关参数资料，每处理一具遗体需喷洒活性炭1~2kg。本项目每年最多处理遗体3200具，按活性炭最大用量，本项目年产生废活性炭6.4t/a。根据《国家危险废物名录》（2021年版），吸附火化炉废气的废活性炭属于“HW18焚烧处置残渣”中“772-005-18固体废物焚烧过程中废气处理产生的废活性炭”，应当按照危险废物的有关规定和要求对其贮存、运输，集中收集后存放于危废暂存间，并交由有资质单位处理。</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③废机油</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项目在运行期间需定期对火化炉、废气处理设备以及其他辅助设备等进行检修，检修期间会产生一定量的废机油，废机油产生量约为0.1t/a，废机油属于危险废物，废机油属于“HW08废矿物油与含矿物油废物”中的“900-249-08车辆、轮船及其它机械维修过程中产生的废发动机油、制动器油、自动变速器油、齿轮油等废润滑油”，废机油经收集后暂存一般固废暂存间，定期交有资质单位转运处置。</w:t>
            </w:r>
          </w:p>
          <w:p>
            <w:pPr>
              <w:pStyle w:val="2"/>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w:t>
            </w:r>
            <w:r>
              <w:rPr>
                <w:rFonts w:hint="eastAsia"/>
                <w:color w:val="000000" w:themeColor="text1"/>
                <w:szCs w:val="24"/>
                <w14:textFill>
                  <w14:solidFill>
                    <w14:schemeClr w14:val="tx1"/>
                  </w14:solidFill>
                </w14:textFill>
              </w:rPr>
              <w:t>危险</w:t>
            </w:r>
            <w:r>
              <w:rPr>
                <w:color w:val="000000" w:themeColor="text1"/>
                <w:szCs w:val="24"/>
                <w14:textFill>
                  <w14:solidFill>
                    <w14:schemeClr w14:val="tx1"/>
                  </w14:solidFill>
                </w14:textFill>
              </w:rPr>
              <w:t>废物产生情况见表</w:t>
            </w:r>
            <w:r>
              <w:rPr>
                <w:rFonts w:hint="eastAsia"/>
                <w:color w:val="000000" w:themeColor="text1"/>
                <w:szCs w:val="24"/>
                <w14:textFill>
                  <w14:solidFill>
                    <w14:schemeClr w14:val="tx1"/>
                  </w14:solidFill>
                </w14:textFill>
              </w:rPr>
              <w:t>4-8。</w:t>
            </w:r>
          </w:p>
          <w:p>
            <w:pPr>
              <w:pStyle w:val="2"/>
              <w:spacing w:after="0"/>
              <w:ind w:left="0" w:leftChars="0"/>
              <w:jc w:val="center"/>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表4-8 危废产生情况一览表</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4"/>
              <w:gridCol w:w="734"/>
              <w:gridCol w:w="1105"/>
              <w:gridCol w:w="915"/>
              <w:gridCol w:w="921"/>
              <w:gridCol w:w="383"/>
              <w:gridCol w:w="647"/>
              <w:gridCol w:w="645"/>
              <w:gridCol w:w="649"/>
              <w:gridCol w:w="13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514"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危险</w:t>
                  </w:r>
                  <w:r>
                    <w:rPr>
                      <w:b/>
                      <w:color w:val="000000" w:themeColor="text1"/>
                      <w:szCs w:val="21"/>
                      <w14:textFill>
                        <w14:solidFill>
                          <w14:schemeClr w14:val="tx1"/>
                        </w14:solidFill>
                      </w14:textFill>
                    </w:rPr>
                    <w:t>废</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物名称</w:t>
                  </w:r>
                </w:p>
              </w:tc>
              <w:tc>
                <w:tcPr>
                  <w:tcW w:w="44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物类别</w:t>
                  </w:r>
                </w:p>
              </w:tc>
              <w:tc>
                <w:tcPr>
                  <w:tcW w:w="673"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代码</w:t>
                  </w:r>
                </w:p>
              </w:tc>
              <w:tc>
                <w:tcPr>
                  <w:tcW w:w="55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（吨/年）</w:t>
                  </w:r>
                </w:p>
              </w:tc>
              <w:tc>
                <w:tcPr>
                  <w:tcW w:w="561"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产生工序及装置</w:t>
                  </w:r>
                </w:p>
              </w:tc>
              <w:tc>
                <w:tcPr>
                  <w:tcW w:w="233"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态</w:t>
                  </w:r>
                </w:p>
              </w:tc>
              <w:tc>
                <w:tcPr>
                  <w:tcW w:w="39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成分</w:t>
                  </w:r>
                </w:p>
              </w:tc>
              <w:tc>
                <w:tcPr>
                  <w:tcW w:w="393"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产废</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周期</w:t>
                  </w:r>
                </w:p>
              </w:tc>
              <w:tc>
                <w:tcPr>
                  <w:tcW w:w="395"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特性</w:t>
                  </w:r>
                </w:p>
              </w:tc>
              <w:tc>
                <w:tcPr>
                  <w:tcW w:w="833"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污染防治措施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5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除尘灰渣</w:t>
                  </w:r>
                </w:p>
              </w:tc>
              <w:tc>
                <w:tcPr>
                  <w:tcW w:w="4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w:t>
                  </w:r>
                  <w:r>
                    <w:rPr>
                      <w:rFonts w:hint="eastAsia"/>
                      <w:color w:val="000000" w:themeColor="text1"/>
                      <w:szCs w:val="21"/>
                      <w14:textFill>
                        <w14:solidFill>
                          <w14:schemeClr w14:val="tx1"/>
                        </w14:solidFill>
                      </w14:textFill>
                    </w:rPr>
                    <w:t>18</w:t>
                  </w:r>
                </w:p>
              </w:tc>
              <w:tc>
                <w:tcPr>
                  <w:tcW w:w="67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722-002-18</w:t>
                  </w:r>
                </w:p>
              </w:tc>
              <w:tc>
                <w:tcPr>
                  <w:tcW w:w="5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9.50</w:t>
                  </w:r>
                </w:p>
              </w:tc>
              <w:tc>
                <w:tcPr>
                  <w:tcW w:w="56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w:t>
                  </w:r>
                </w:p>
              </w:tc>
              <w:tc>
                <w:tcPr>
                  <w:tcW w:w="23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39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w:t>
                  </w:r>
                </w:p>
              </w:tc>
              <w:tc>
                <w:tcPr>
                  <w:tcW w:w="3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每日</w:t>
                  </w:r>
                </w:p>
              </w:tc>
              <w:tc>
                <w:tcPr>
                  <w:tcW w:w="39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3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暂存危废间，垃圾填埋场填埋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4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9</w:t>
                  </w:r>
                </w:p>
              </w:tc>
              <w:tc>
                <w:tcPr>
                  <w:tcW w:w="67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900-039-49</w:t>
                  </w:r>
                </w:p>
              </w:tc>
              <w:tc>
                <w:tcPr>
                  <w:tcW w:w="5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c>
                <w:tcPr>
                  <w:tcW w:w="56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w:t>
                  </w:r>
                </w:p>
              </w:tc>
              <w:tc>
                <w:tcPr>
                  <w:tcW w:w="2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39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w:t>
                  </w:r>
                </w:p>
              </w:tc>
              <w:tc>
                <w:tcPr>
                  <w:tcW w:w="3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39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3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暂存危废间，定期交有资质单位处置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4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67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900-249-08</w:t>
                  </w:r>
                </w:p>
              </w:tc>
              <w:tc>
                <w:tcPr>
                  <w:tcW w:w="5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56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设备维护</w:t>
                  </w:r>
                </w:p>
              </w:tc>
              <w:tc>
                <w:tcPr>
                  <w:tcW w:w="2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39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39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39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83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暂存危废间，定期交有资质单位处置</w:t>
                  </w:r>
                </w:p>
              </w:tc>
            </w:tr>
          </w:tbl>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（3）固废日常处理及管理要求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①一般固废及生活垃圾的处理及管理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于一般固废，贮存过程应满足相应防渗漏、防雨淋、防扬尘等环境保护要求，建设必要的固废分类收集和临时贮存设施。根据现场调查，厂区内已设置若干垃圾箱收集暂存馆内生活垃圾。遗体骨灰由家属认领，无人认领的骨灰暂存于骨灰堂。骨灰堂建设达到防渗漏、防雨淋、防扬尘等环境保护相关要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②危险固废的处理及管理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必须按照国家有关规定进行申报登记，建立台账管理制度，建设符合标准的专门设施和场所妥善保存并设立危险废物标示牌。危险废物在厂内暂存期间，企业应该严格按照《危险废物储存污染控制标准》（GB18597-2001）。含残留易挥发物质的危废应放置于专用密闭容器，各容器或场所需粘贴危险废物标签，并做好相应的纪录。危险废物外运采用专门密闭车辆，防止散落和流洒。</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于危险废物管理，应配备专职的管理人员，建立规范的台帐制度，如实记录危废的产生，包括危险废物的产生、贮存、利用和处置等各个环境的情况，如危险废物交接记录台帐，危险废物贮存情况记录台帐、危险废物处理/利用情况记录台帐。对危险废物的转移处理须严格按照国家环境保护部第5号令《危险废物转移联单管理办法》进行管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③项目危废暂存库设置情况</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根据工程分析和企业总体平面布置情况，建设单位拟在火化间东北角设置1个危废暂存库，用于危险废物的日常临时储存，暂存库占地面积为10m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，库容积约5m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（4）危险废物贮存场所（设施）及运输过程环境影响分析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①选址可行性分析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前述的固废暂存库设置情况，项目所有的危险废物均临时储存于危废暂存库内，拟严格按照《危险废物储存污染控制标准》(GB18597-2001)及其修改单要求，做好“四防”（防风、防雨、防晒、防渗漏）工作，结合区域环境条件，项目所在区域周边交通便捷，便于危废的转运，因此项目危废临时储存场所选址可行。</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②危废暂存间临时储存能力合理性分析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大部分危险废物连续产生，贮存周期一般不超过2个月（最长贮存1年），即委托有资质单位代为处置或出售给相关单位综合利用。结合前述的危废产生量、产废周期及日常临时最大储存量等情况，项目危险废物暂存间的临时储存能力分析详见下表。</w:t>
            </w:r>
          </w:p>
          <w:p>
            <w:pPr>
              <w:topLinePunct/>
              <w:adjustRightInd w:val="0"/>
              <w:snapToGrid w:val="0"/>
              <w:jc w:val="center"/>
              <w:rPr>
                <w:rFonts w:ascii="宋体" w:hAnsi="宋体"/>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4-9 </w:t>
            </w:r>
            <w:r>
              <w:rPr>
                <w:b/>
                <w:color w:val="000000" w:themeColor="text1"/>
                <w:sz w:val="24"/>
                <w14:textFill>
                  <w14:solidFill>
                    <w14:schemeClr w14:val="tx1"/>
                  </w14:solidFill>
                </w14:textFill>
              </w:rPr>
              <w:t>项目危险废物贮存场所基本情况表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181"/>
              <w:gridCol w:w="788"/>
              <w:gridCol w:w="898"/>
              <w:gridCol w:w="861"/>
              <w:gridCol w:w="737"/>
              <w:gridCol w:w="1076"/>
              <w:gridCol w:w="1148"/>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392" w:type="pc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位置</w:t>
                  </w:r>
                </w:p>
              </w:tc>
              <w:tc>
                <w:tcPr>
                  <w:tcW w:w="719"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480" w:type="pct"/>
                  <w:vAlign w:val="center"/>
                </w:tcPr>
                <w:p>
                  <w:pPr>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547" w:type="pct"/>
                  <w:vAlign w:val="center"/>
                </w:tcPr>
                <w:p>
                  <w:pPr>
                    <w:pStyle w:val="83"/>
                    <w:jc w:val="center"/>
                    <w:rPr>
                      <w:rFonts w:ascii="Times New Roman" w:hAnsi="Times New Roman" w:cs="Times New Roman"/>
                      <w:b/>
                      <w:color w:val="000000" w:themeColor="text1"/>
                      <w:kern w:val="2"/>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产废周期</w:t>
                  </w:r>
                </w:p>
              </w:tc>
              <w:tc>
                <w:tcPr>
                  <w:tcW w:w="524" w:type="pct"/>
                  <w:vAlign w:val="center"/>
                </w:tcPr>
                <w:p>
                  <w:pPr>
                    <w:pStyle w:val="83"/>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贮存周期</w:t>
                  </w:r>
                </w:p>
              </w:tc>
              <w:tc>
                <w:tcPr>
                  <w:tcW w:w="449" w:type="pct"/>
                  <w:vAlign w:val="center"/>
                </w:tcPr>
                <w:p>
                  <w:pPr>
                    <w:pStyle w:val="83"/>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贮存方式</w:t>
                  </w:r>
                </w:p>
              </w:tc>
              <w:tc>
                <w:tcPr>
                  <w:tcW w:w="655" w:type="pct"/>
                  <w:vAlign w:val="center"/>
                </w:tcPr>
                <w:p>
                  <w:pPr>
                    <w:pStyle w:val="83"/>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所需危废贮存</w:t>
                  </w:r>
                  <w:r>
                    <w:rPr>
                      <w:rFonts w:hint="eastAsia" w:ascii="Times New Roman" w:cs="Times New Roman"/>
                      <w:color w:val="000000" w:themeColor="text1"/>
                      <w:sz w:val="21"/>
                      <w:szCs w:val="21"/>
                      <w14:textFill>
                        <w14:solidFill>
                          <w14:schemeClr w14:val="tx1"/>
                        </w14:solidFill>
                      </w14:textFill>
                    </w:rPr>
                    <w:t>规模</w:t>
                  </w:r>
                </w:p>
              </w:tc>
              <w:tc>
                <w:tcPr>
                  <w:tcW w:w="699" w:type="pc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危废间贮存能力</w:t>
                  </w:r>
                </w:p>
              </w:tc>
              <w:tc>
                <w:tcPr>
                  <w:tcW w:w="535" w:type="pct"/>
                  <w:vAlign w:val="center"/>
                </w:tcPr>
                <w:p>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2" w:type="pct"/>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7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除尘灰渣</w:t>
                  </w:r>
                </w:p>
              </w:tc>
              <w:tc>
                <w:tcPr>
                  <w:tcW w:w="48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9.50</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每日</w:t>
                  </w:r>
                </w:p>
              </w:tc>
              <w:tc>
                <w:tcPr>
                  <w:tcW w:w="5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44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密封桶装</w:t>
                  </w:r>
                </w:p>
              </w:tc>
              <w:tc>
                <w:tcPr>
                  <w:tcW w:w="65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5m</w:t>
                  </w:r>
                  <w:r>
                    <w:rPr>
                      <w:rFonts w:hint="eastAsia"/>
                      <w:color w:val="000000" w:themeColor="text1"/>
                      <w:szCs w:val="21"/>
                      <w:vertAlign w:val="superscript"/>
                      <w14:textFill>
                        <w14:solidFill>
                          <w14:schemeClr w14:val="tx1"/>
                        </w14:solidFill>
                      </w14:textFill>
                    </w:rPr>
                    <w:t>2</w:t>
                  </w:r>
                </w:p>
              </w:tc>
              <w:tc>
                <w:tcPr>
                  <w:tcW w:w="699"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占地面积约</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，有效容积约</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5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2" w:type="pct"/>
                  <w:vMerge w:val="continue"/>
                  <w:vAlign w:val="center"/>
                </w:tcPr>
                <w:p>
                  <w:pPr>
                    <w:adjustRightInd w:val="0"/>
                    <w:snapToGrid w:val="0"/>
                    <w:jc w:val="center"/>
                    <w:rPr>
                      <w:color w:val="000000" w:themeColor="text1"/>
                      <w:szCs w:val="21"/>
                      <w14:textFill>
                        <w14:solidFill>
                          <w14:schemeClr w14:val="tx1"/>
                        </w14:solidFill>
                      </w14:textFill>
                    </w:rPr>
                  </w:pPr>
                </w:p>
              </w:tc>
              <w:tc>
                <w:tcPr>
                  <w:tcW w:w="7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48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5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44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密封袋装</w:t>
                  </w:r>
                </w:p>
              </w:tc>
              <w:tc>
                <w:tcPr>
                  <w:tcW w:w="65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4m</w:t>
                  </w:r>
                  <w:r>
                    <w:rPr>
                      <w:rFonts w:hint="eastAsia"/>
                      <w:color w:val="000000" w:themeColor="text1"/>
                      <w:szCs w:val="21"/>
                      <w:vertAlign w:val="superscript"/>
                      <w14:textFill>
                        <w14:solidFill>
                          <w14:schemeClr w14:val="tx1"/>
                        </w14:solidFill>
                      </w14:textFill>
                    </w:rPr>
                    <w:t>2</w:t>
                  </w:r>
                </w:p>
              </w:tc>
              <w:tc>
                <w:tcPr>
                  <w:tcW w:w="699" w:type="pct"/>
                  <w:vMerge w:val="continue"/>
                  <w:vAlign w:val="center"/>
                </w:tcPr>
                <w:p>
                  <w:pPr>
                    <w:adjustRightInd w:val="0"/>
                    <w:snapToGrid w:val="0"/>
                    <w:jc w:val="center"/>
                    <w:rPr>
                      <w:color w:val="000000" w:themeColor="text1"/>
                      <w:szCs w:val="21"/>
                      <w14:textFill>
                        <w14:solidFill>
                          <w14:schemeClr w14:val="tx1"/>
                        </w14:solidFill>
                      </w14:textFill>
                    </w:rPr>
                  </w:pPr>
                </w:p>
              </w:tc>
              <w:tc>
                <w:tcPr>
                  <w:tcW w:w="5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392" w:type="pct"/>
                  <w:vMerge w:val="continue"/>
                  <w:vAlign w:val="center"/>
                </w:tcPr>
                <w:p>
                  <w:pPr>
                    <w:adjustRightInd w:val="0"/>
                    <w:snapToGrid w:val="0"/>
                    <w:jc w:val="center"/>
                    <w:rPr>
                      <w:color w:val="000000" w:themeColor="text1"/>
                      <w:szCs w:val="21"/>
                      <w14:textFill>
                        <w14:solidFill>
                          <w14:schemeClr w14:val="tx1"/>
                        </w14:solidFill>
                      </w14:textFill>
                    </w:rPr>
                  </w:pPr>
                </w:p>
              </w:tc>
              <w:tc>
                <w:tcPr>
                  <w:tcW w:w="7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48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5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半年</w:t>
                  </w:r>
                </w:p>
              </w:tc>
              <w:tc>
                <w:tcPr>
                  <w:tcW w:w="44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密封袋装</w:t>
                  </w:r>
                </w:p>
              </w:tc>
              <w:tc>
                <w:tcPr>
                  <w:tcW w:w="65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r>
                    <w:rPr>
                      <w:rFonts w:hint="eastAsia"/>
                      <w:color w:val="000000" w:themeColor="text1"/>
                      <w:szCs w:val="21"/>
                      <w:vertAlign w:val="superscript"/>
                      <w14:textFill>
                        <w14:solidFill>
                          <w14:schemeClr w14:val="tx1"/>
                        </w14:solidFill>
                      </w14:textFill>
                    </w:rPr>
                    <w:t>2</w:t>
                  </w:r>
                </w:p>
              </w:tc>
              <w:tc>
                <w:tcPr>
                  <w:tcW w:w="699" w:type="pct"/>
                  <w:vMerge w:val="continue"/>
                  <w:vAlign w:val="center"/>
                </w:tcPr>
                <w:p>
                  <w:pPr>
                    <w:adjustRightInd w:val="0"/>
                    <w:snapToGrid w:val="0"/>
                    <w:jc w:val="center"/>
                    <w:rPr>
                      <w:color w:val="000000" w:themeColor="text1"/>
                      <w:szCs w:val="21"/>
                      <w14:textFill>
                        <w14:solidFill>
                          <w14:schemeClr w14:val="tx1"/>
                        </w14:solidFill>
                      </w14:textFill>
                    </w:rPr>
                  </w:pPr>
                </w:p>
              </w:tc>
              <w:tc>
                <w:tcPr>
                  <w:tcW w:w="5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满足</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根据上表分析可知，项目设置的危险废物暂存间的临时储存能力能够满足要求。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③危废日常储存对环境各要素的影响分析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危废日常储存于桶内，各储存容器日常均加盖密封，危废暂存间均采建有堵截泄漏的裙脚，地面与裙脚要用坚固防渗的材料建造；并设置有隔离设施、报警装置和“四防”（防风、防雨、防晒、防渗漏）设施。不同种类的危险废物应根据其理化性质分类存放，不同类的危废须分区贮存，不同分区应设置矮围墙或在地面画线并预留明显间隔，严禁将不相容（相互反应）的危废在同一容器内混装。项目位于唐江镇，企业在做好日常环境管理的基础上，项目危险废物贮存过程中对周边的环境空气、地表水、地下水、土壤以及环境敏感保护目标影响较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④危废日常运输过程的影响分析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项目危废暂存库设置在危废产生点附近，厂内运输距离较短，且危废产生后即采用桶装日常储存，在加强日常管理的基础上，基本不会对周边环境造成影响。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运输过程的日常管理均由危废处置单位负责安排，企业在转运过程应积极配合危废处置单位的运输工作。</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本环评要求的危险废物运输应当达到以下要求：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a.危险废物的运输委托持有危险废物经营许可证、危险货物运输资质的单位运输，并按照其许可证经营范围组织实施；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b.危险废物贮存设专职人员管理，防止非工作人员接触，装卸区工作人员应配备个人防护装备并设立必要的消防设备和指示标志；</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c.有防鼠、防蚊蝇、防蟑螂的安全措施；防止渗漏和雨水冲刷；易于清洁和消毒；避免阳光直射；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d.危废运输严格按照《危险废物收集贮存运输技术规范》（HJ2025-2012）中相关要求与危废转运联单有关要求；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e.输路线应尽量避免穿越人口稠密区，远离人员活动区和生活垃圾存放场所，方便危险废物运送人员及运送工具、车辆的出入；运输人员要穿安全防护服。</w:t>
            </w:r>
          </w:p>
          <w:p>
            <w:pPr>
              <w:pStyle w:val="2"/>
              <w:spacing w:after="0" w:line="360" w:lineRule="auto"/>
              <w:ind w:left="0" w:leftChars="0" w:firstLine="480" w:firstLineChars="200"/>
              <w:rPr>
                <w:b/>
                <w:bCs/>
                <w:color w:val="000000" w:themeColor="text1"/>
                <w:szCs w:val="24"/>
                <w14:textFill>
                  <w14:solidFill>
                    <w14:schemeClr w14:val="tx1"/>
                  </w14:solidFill>
                </w14:textFill>
              </w:rPr>
            </w:pPr>
            <w:r>
              <w:rPr>
                <w:rFonts w:hint="eastAsia"/>
                <w:color w:val="000000" w:themeColor="text1"/>
                <w14:textFill>
                  <w14:solidFill>
                    <w14:schemeClr w14:val="tx1"/>
                  </w14:solidFill>
                </w14:textFill>
              </w:rPr>
              <w:t>综上，在严格采取以上措施情况下，本项目营运期产生的固体废物不会对周围环境产生二次污染。</w:t>
            </w:r>
          </w:p>
          <w:p>
            <w:pPr>
              <w:pStyle w:val="2"/>
              <w:spacing w:after="0" w:line="360" w:lineRule="auto"/>
              <w:ind w:left="0" w:leftChars="0"/>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5、地下水、土壤</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（1）事故影响情形分析</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项目运营期废气中有组织排放经处理后排放量较小，可忽略其对土壤的影响。正常情况下，轻柴油贮存设施以及污水处理设施采取防渗、防腐及硬化处理措施，废水及油类物质对地下水、土壤基本不造成影响。</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事故情况下，主要是污水处理设施底部防渗层破裂，废水发生泄漏以及轻柴油贮存设施发生泄漏事故，导致污染物下渗至土壤甚至地下水含水层，导致污染地下水及厂区周边土壤环境。</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（2）地下水/土壤污染防治措施</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①源头控制措施</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采取措施防止跑冒滴漏及污染物泄漏，注意工作场所地面、排水管道、污水处理设施的防腐防渗要求，防止污染物下渗，污染土壤和地下水环境。</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②分区防渗</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企业应加强生产设备的管理，对可能产生跑、冒、滴、漏的场地进行防渗处理。根据项目各功能单元是否可能对地下水造成污染及其风险程度，将项目所在区域划分为重点防渗区、简单防渗区。项目火化车间、污水处理设施以及轻柴油贮存设施需满足重点防渗区要求，项目办公区、厂区道路采取一般硬化即可。地下水分区防渗要求见表4-10。</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4-10</w:t>
            </w:r>
            <w:r>
              <w:rPr>
                <w:b/>
                <w:color w:val="000000" w:themeColor="text1"/>
                <w:sz w:val="24"/>
                <w14:textFill>
                  <w14:solidFill>
                    <w14:schemeClr w14:val="tx1"/>
                  </w14:solidFill>
                </w14:textFill>
              </w:rPr>
              <w:t xml:space="preserve">  地下水污染防渗分区参照表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905"/>
              <w:gridCol w:w="5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007" w:type="pct"/>
                  <w:vAlign w:val="center"/>
                </w:tcPr>
                <w:p>
                  <w:pPr>
                    <w:adjustRightInd w:val="0"/>
                    <w:snapToGrid w:val="0"/>
                    <w:jc w:val="center"/>
                    <w:rPr>
                      <w:b/>
                      <w:bCs/>
                      <w:color w:val="000000" w:themeColor="text1"/>
                      <w:kern w:val="21"/>
                      <w:szCs w:val="21"/>
                      <w14:textFill>
                        <w14:solidFill>
                          <w14:schemeClr w14:val="tx1"/>
                        </w14:solidFill>
                      </w14:textFill>
                    </w:rPr>
                  </w:pPr>
                  <w:r>
                    <w:rPr>
                      <w:b/>
                      <w:bCs/>
                      <w:color w:val="000000" w:themeColor="text1"/>
                      <w:kern w:val="21"/>
                      <w:szCs w:val="21"/>
                      <w14:textFill>
                        <w14:solidFill>
                          <w14:schemeClr w14:val="tx1"/>
                        </w14:solidFill>
                      </w14:textFill>
                    </w:rPr>
                    <w:t>区域</w:t>
                  </w:r>
                </w:p>
              </w:tc>
              <w:tc>
                <w:tcPr>
                  <w:tcW w:w="551" w:type="pct"/>
                  <w:vAlign w:val="center"/>
                </w:tcPr>
                <w:p>
                  <w:pPr>
                    <w:adjustRightInd w:val="0"/>
                    <w:snapToGrid w:val="0"/>
                    <w:jc w:val="center"/>
                    <w:rPr>
                      <w:b/>
                      <w:bCs/>
                      <w:color w:val="000000" w:themeColor="text1"/>
                      <w:kern w:val="21"/>
                      <w:szCs w:val="21"/>
                      <w14:textFill>
                        <w14:solidFill>
                          <w14:schemeClr w14:val="tx1"/>
                        </w14:solidFill>
                      </w14:textFill>
                    </w:rPr>
                  </w:pPr>
                  <w:r>
                    <w:rPr>
                      <w:b/>
                      <w:bCs/>
                      <w:color w:val="000000" w:themeColor="text1"/>
                      <w:kern w:val="21"/>
                      <w:szCs w:val="21"/>
                      <w14:textFill>
                        <w14:solidFill>
                          <w14:schemeClr w14:val="tx1"/>
                        </w14:solidFill>
                      </w14:textFill>
                    </w:rPr>
                    <w:t>防渗区</w:t>
                  </w:r>
                </w:p>
              </w:tc>
              <w:tc>
                <w:tcPr>
                  <w:tcW w:w="3442" w:type="pct"/>
                  <w:vAlign w:val="center"/>
                </w:tcPr>
                <w:p>
                  <w:pPr>
                    <w:adjustRightInd w:val="0"/>
                    <w:snapToGrid w:val="0"/>
                    <w:jc w:val="center"/>
                    <w:rPr>
                      <w:b/>
                      <w:bCs/>
                      <w:color w:val="000000" w:themeColor="text1"/>
                      <w:kern w:val="21"/>
                      <w:szCs w:val="21"/>
                      <w14:textFill>
                        <w14:solidFill>
                          <w14:schemeClr w14:val="tx1"/>
                        </w14:solidFill>
                      </w14:textFill>
                    </w:rPr>
                  </w:pPr>
                  <w:r>
                    <w:rPr>
                      <w:b/>
                      <w:bCs/>
                      <w:color w:val="000000" w:themeColor="text1"/>
                      <w:kern w:val="21"/>
                      <w:szCs w:val="21"/>
                      <w14:textFill>
                        <w14:solidFill>
                          <w14:schemeClr w14:val="tx1"/>
                        </w14:solidFill>
                      </w14:textFill>
                    </w:rPr>
                    <w:t>具体的防渗措施和效果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7" w:type="pct"/>
                  <w:vAlign w:val="center"/>
                </w:tcPr>
                <w:p>
                  <w:pPr>
                    <w:adjustRightInd w:val="0"/>
                    <w:snapToGrid w:val="0"/>
                    <w:jc w:val="center"/>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火化车间、消毒池、化粪池以及轻柴油贮存设施</w:t>
                  </w:r>
                  <w:r>
                    <w:rPr>
                      <w:bCs/>
                      <w:color w:val="000000" w:themeColor="text1"/>
                      <w:kern w:val="21"/>
                      <w:szCs w:val="21"/>
                      <w14:textFill>
                        <w14:solidFill>
                          <w14:schemeClr w14:val="tx1"/>
                        </w14:solidFill>
                      </w14:textFill>
                    </w:rPr>
                    <w:t>等</w:t>
                  </w:r>
                </w:p>
              </w:tc>
              <w:tc>
                <w:tcPr>
                  <w:tcW w:w="551" w:type="pct"/>
                  <w:vAlign w:val="center"/>
                </w:tcPr>
                <w:p>
                  <w:pPr>
                    <w:adjustRightInd w:val="0"/>
                    <w:snapToGrid w:val="0"/>
                    <w:jc w:val="center"/>
                    <w:rPr>
                      <w:bCs/>
                      <w:color w:val="000000" w:themeColor="text1"/>
                      <w:kern w:val="21"/>
                      <w:szCs w:val="21"/>
                      <w14:textFill>
                        <w14:solidFill>
                          <w14:schemeClr w14:val="tx1"/>
                        </w14:solidFill>
                      </w14:textFill>
                    </w:rPr>
                  </w:pPr>
                  <w:r>
                    <w:rPr>
                      <w:bCs/>
                      <w:color w:val="000000" w:themeColor="text1"/>
                      <w:kern w:val="21"/>
                      <w:szCs w:val="21"/>
                      <w14:textFill>
                        <w14:solidFill>
                          <w14:schemeClr w14:val="tx1"/>
                        </w14:solidFill>
                      </w14:textFill>
                    </w:rPr>
                    <w:t>重点防渗区</w:t>
                  </w:r>
                </w:p>
              </w:tc>
              <w:tc>
                <w:tcPr>
                  <w:tcW w:w="3442" w:type="pct"/>
                  <w:vAlign w:val="center"/>
                </w:tcPr>
                <w:p>
                  <w:pPr>
                    <w:adjustRightInd w:val="0"/>
                    <w:snapToGrid w:val="0"/>
                    <w:jc w:val="center"/>
                    <w:rPr>
                      <w:bCs/>
                      <w:color w:val="000000" w:themeColor="text1"/>
                      <w:kern w:val="21"/>
                      <w:szCs w:val="21"/>
                      <w14:textFill>
                        <w14:solidFill>
                          <w14:schemeClr w14:val="tx1"/>
                        </w14:solidFill>
                      </w14:textFill>
                    </w:rPr>
                  </w:pPr>
                  <w:r>
                    <w:rPr>
                      <w:bCs/>
                      <w:color w:val="000000" w:themeColor="text1"/>
                      <w:kern w:val="21"/>
                      <w:szCs w:val="21"/>
                      <w14:textFill>
                        <w14:solidFill>
                          <w14:schemeClr w14:val="tx1"/>
                        </w14:solidFill>
                      </w14:textFill>
                    </w:rPr>
                    <w:t>采用现浇防渗钢纤维混凝土面层作为基础防渗措施（防渗等级不低于P6），表层采用20mm防渗水泥进行地面硬化；防渗层满足等效黏土防护层 Mb≥1.5m，渗透系数 K≤1.0×10</w:t>
                  </w:r>
                  <w:r>
                    <w:rPr>
                      <w:bCs/>
                      <w:color w:val="000000" w:themeColor="text1"/>
                      <w:kern w:val="21"/>
                      <w:szCs w:val="21"/>
                      <w:vertAlign w:val="superscript"/>
                      <w14:textFill>
                        <w14:solidFill>
                          <w14:schemeClr w14:val="tx1"/>
                        </w14:solidFill>
                      </w14:textFill>
                    </w:rPr>
                    <w:t>-7</w:t>
                  </w:r>
                  <w:r>
                    <w:rPr>
                      <w:bCs/>
                      <w:color w:val="000000" w:themeColor="text1"/>
                      <w:kern w:val="21"/>
                      <w:szCs w:val="21"/>
                      <w14:textFill>
                        <w14:solidFill>
                          <w14:schemeClr w14:val="tx1"/>
                        </w14:solidFill>
                      </w14:textFill>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007" w:type="pct"/>
                  <w:vAlign w:val="center"/>
                </w:tcPr>
                <w:p>
                  <w:pPr>
                    <w:adjustRightInd w:val="0"/>
                    <w:snapToGrid w:val="0"/>
                    <w:jc w:val="center"/>
                    <w:rPr>
                      <w:bCs/>
                      <w:color w:val="000000" w:themeColor="text1"/>
                      <w:kern w:val="21"/>
                      <w:szCs w:val="21"/>
                      <w14:textFill>
                        <w14:solidFill>
                          <w14:schemeClr w14:val="tx1"/>
                        </w14:solidFill>
                      </w14:textFill>
                    </w:rPr>
                  </w:pPr>
                  <w:r>
                    <w:rPr>
                      <w:bCs/>
                      <w:color w:val="000000" w:themeColor="text1"/>
                      <w:kern w:val="21"/>
                      <w:szCs w:val="21"/>
                      <w14:textFill>
                        <w14:solidFill>
                          <w14:schemeClr w14:val="tx1"/>
                        </w14:solidFill>
                      </w14:textFill>
                    </w:rPr>
                    <w:t>其它区域</w:t>
                  </w:r>
                </w:p>
              </w:tc>
              <w:tc>
                <w:tcPr>
                  <w:tcW w:w="551" w:type="pct"/>
                  <w:vAlign w:val="center"/>
                </w:tcPr>
                <w:p>
                  <w:pPr>
                    <w:adjustRightInd w:val="0"/>
                    <w:snapToGrid w:val="0"/>
                    <w:jc w:val="center"/>
                    <w:rPr>
                      <w:bCs/>
                      <w:color w:val="000000" w:themeColor="text1"/>
                      <w:kern w:val="21"/>
                      <w:szCs w:val="21"/>
                      <w14:textFill>
                        <w14:solidFill>
                          <w14:schemeClr w14:val="tx1"/>
                        </w14:solidFill>
                      </w14:textFill>
                    </w:rPr>
                  </w:pPr>
                  <w:r>
                    <w:rPr>
                      <w:bCs/>
                      <w:color w:val="000000" w:themeColor="text1"/>
                      <w:kern w:val="21"/>
                      <w:szCs w:val="21"/>
                      <w14:textFill>
                        <w14:solidFill>
                          <w14:schemeClr w14:val="tx1"/>
                        </w14:solidFill>
                      </w14:textFill>
                    </w:rPr>
                    <w:t>简单防渗区</w:t>
                  </w:r>
                </w:p>
              </w:tc>
              <w:tc>
                <w:tcPr>
                  <w:tcW w:w="3442" w:type="pct"/>
                  <w:vAlign w:val="center"/>
                </w:tcPr>
                <w:p>
                  <w:pPr>
                    <w:adjustRightInd w:val="0"/>
                    <w:snapToGrid w:val="0"/>
                    <w:jc w:val="center"/>
                    <w:rPr>
                      <w:bCs/>
                      <w:color w:val="000000" w:themeColor="text1"/>
                      <w:kern w:val="21"/>
                      <w:szCs w:val="21"/>
                      <w14:textFill>
                        <w14:solidFill>
                          <w14:schemeClr w14:val="tx1"/>
                        </w14:solidFill>
                      </w14:textFill>
                    </w:rPr>
                  </w:pPr>
                  <w:r>
                    <w:rPr>
                      <w:bCs/>
                      <w:color w:val="000000" w:themeColor="text1"/>
                      <w:kern w:val="21"/>
                      <w:szCs w:val="21"/>
                      <w14:textFill>
                        <w14:solidFill>
                          <w14:schemeClr w14:val="tx1"/>
                        </w14:solidFill>
                      </w14:textFill>
                    </w:rPr>
                    <w:t>采用站房及站内道路地面采取粘土铺底，上层铺10~15cm的水泥进行硬化。</w:t>
                  </w:r>
                </w:p>
              </w:tc>
            </w:tr>
          </w:tbl>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③应急响应措施</w:t>
            </w:r>
          </w:p>
          <w:p>
            <w:pPr>
              <w:pStyle w:val="2"/>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建设单位应定期开展检查工作，当明确发生泄漏事故有可能下渗污染地下水及土壤时，应及时进行处置，并将污染泄漏事故上报给生态环境主管部门，同时委托有专业技术能力的机构进行地下水修复工作。</w:t>
            </w:r>
          </w:p>
          <w:p>
            <w:pPr>
              <w:pStyle w:val="20"/>
              <w:tabs>
                <w:tab w:val="left" w:pos="0"/>
              </w:tabs>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6、环境风险</w:t>
            </w:r>
          </w:p>
          <w:p>
            <w:pPr>
              <w:pStyle w:val="2"/>
              <w:spacing w:after="0" w:line="360" w:lineRule="auto"/>
              <w:ind w:left="0" w:leftChars="0" w:firstLine="480" w:firstLineChars="200"/>
              <w:rPr>
                <w:color w:val="000000" w:themeColor="text1"/>
                <w:szCs w:val="24"/>
                <w14:textFill>
                  <w14:solidFill>
                    <w14:schemeClr w14:val="tx1"/>
                  </w14:solidFill>
                </w14:textFill>
              </w:rPr>
            </w:pPr>
            <w:bookmarkStart w:id="5" w:name="_Toc14355932"/>
            <w:bookmarkStart w:id="6" w:name="_Toc4682492"/>
            <w:r>
              <w:rPr>
                <w:rFonts w:hint="eastAsia"/>
                <w:color w:val="000000" w:themeColor="text1"/>
                <w:szCs w:val="24"/>
                <w14:textFill>
                  <w14:solidFill>
                    <w14:schemeClr w14:val="tx1"/>
                  </w14:solidFill>
                </w14:textFill>
              </w:rPr>
              <w:t>（1）风险源调查</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根据原辅材料理化性质，确定项目</w:t>
            </w:r>
            <w:r>
              <w:rPr>
                <w:rFonts w:hint="eastAsia" w:ascii="Times New Roman" w:hAnsi="Times New Roman" w:eastAsia="宋体" w:cs="Times New Roman"/>
                <w:color w:val="000000" w:themeColor="text1"/>
                <w:sz w:val="24"/>
                <w14:textFill>
                  <w14:solidFill>
                    <w14:schemeClr w14:val="tx1"/>
                  </w14:solidFill>
                </w14:textFill>
              </w:rPr>
              <w:t>生产运营</w:t>
            </w:r>
            <w:r>
              <w:rPr>
                <w:rFonts w:ascii="Times New Roman" w:hAnsi="Times New Roman" w:eastAsia="宋体" w:cs="Times New Roman"/>
                <w:color w:val="000000" w:themeColor="text1"/>
                <w:sz w:val="24"/>
                <w14:textFill>
                  <w14:solidFill>
                    <w14:schemeClr w14:val="tx1"/>
                  </w14:solidFill>
                </w14:textFill>
              </w:rPr>
              <w:t>过程中风险物质为轻柴油及次氯酸钠，轻柴油属易燃物质</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存在一定的火灾风险。本项目火化机使用的轻柴油储存在储油间，年使用量为48吨，最大储存量为</w:t>
            </w:r>
            <w:r>
              <w:rPr>
                <w:rFonts w:hint="eastAsia" w:ascii="Times New Roman" w:hAnsi="Times New Roman" w:eastAsia="宋体" w:cs="Times New Roman"/>
                <w:color w:val="000000" w:themeColor="text1"/>
                <w:sz w:val="24"/>
                <w14:textFill>
                  <w14:solidFill>
                    <w14:schemeClr w14:val="tx1"/>
                  </w14:solidFill>
                </w14:textFill>
              </w:rPr>
              <w:t>7吨</w:t>
            </w:r>
            <w:r>
              <w:rPr>
                <w:rFonts w:ascii="Times New Roman" w:hAnsi="Times New Roman" w:eastAsia="宋体" w:cs="Times New Roman"/>
                <w:color w:val="000000" w:themeColor="text1"/>
                <w:sz w:val="24"/>
                <w14:textFill>
                  <w14:solidFill>
                    <w14:schemeClr w14:val="tx1"/>
                  </w14:solidFill>
                </w14:textFill>
              </w:rPr>
              <w:t>。次氯酸钠为解剖废水消毒使用，年使用量为</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吨，最大储存量为</w:t>
            </w:r>
            <w:r>
              <w:rPr>
                <w:rFonts w:hint="eastAsia" w:ascii="Times New Roman" w:hAnsi="Times New Roman" w:eastAsia="宋体" w:cs="Times New Roman"/>
                <w:color w:val="000000" w:themeColor="text1"/>
                <w:sz w:val="24"/>
                <w14:textFill>
                  <w14:solidFill>
                    <w14:schemeClr w14:val="tx1"/>
                  </w14:solidFill>
                </w14:textFill>
              </w:rPr>
              <w:t>0.5吨</w:t>
            </w:r>
            <w:r>
              <w:rPr>
                <w:rFonts w:ascii="Times New Roman" w:hAnsi="Times New Roman" w:eastAsia="宋体" w:cs="Times New Roman"/>
                <w:color w:val="000000" w:themeColor="text1"/>
                <w:sz w:val="24"/>
                <w14:textFill>
                  <w14:solidFill>
                    <w14:schemeClr w14:val="tx1"/>
                  </w14:solidFill>
                </w14:textFill>
              </w:rPr>
              <w:t>。经查阅《危险化学品重大危险源辨识》（GB 18218-2018），本项目轻柴油最大储存量小于“5000 吨临界量”，不构成重大危险源。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风险潜势初判</w:t>
            </w:r>
          </w:p>
          <w:p>
            <w:pPr>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根据《建设项目环境风险评价技术导则》（HJ169-2018）附录B和附录C，项目</w:t>
            </w:r>
            <w:r>
              <w:rPr>
                <w:rFonts w:hint="eastAsia"/>
                <w:color w:val="000000" w:themeColor="text1"/>
                <w:sz w:val="24"/>
                <w14:textFill>
                  <w14:solidFill>
                    <w14:schemeClr w14:val="tx1"/>
                  </w14:solidFill>
                </w14:textFill>
              </w:rPr>
              <w:t>环境风险</w:t>
            </w:r>
            <w:r>
              <w:rPr>
                <w:color w:val="000000" w:themeColor="text1"/>
                <w:sz w:val="24"/>
                <w14:textFill>
                  <w14:solidFill>
                    <w14:schemeClr w14:val="tx1"/>
                  </w14:solidFill>
                </w14:textFill>
              </w:rPr>
              <w:t>源判定见表4</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p>
            <w:pPr>
              <w:autoSpaceDE w:val="0"/>
              <w:autoSpaceDN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 xml:space="preserve">  危险物质数量与临界量比值一览表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24"/>
              <w:gridCol w:w="1938"/>
              <w:gridCol w:w="1782"/>
              <w:gridCol w:w="1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96" w:type="pct"/>
                  <w:tcBorders>
                    <w:tl2br w:val="nil"/>
                    <w:tr2bl w:val="nil"/>
                  </w:tcBorders>
                  <w:vAlign w:val="center"/>
                </w:tcPr>
                <w:p>
                  <w:pPr>
                    <w:pStyle w:val="38"/>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序号</w:t>
                  </w:r>
                </w:p>
              </w:tc>
              <w:tc>
                <w:tcPr>
                  <w:tcW w:w="1111" w:type="pct"/>
                  <w:tcBorders>
                    <w:tl2br w:val="nil"/>
                    <w:tr2bl w:val="nil"/>
                  </w:tcBorders>
                  <w:vAlign w:val="center"/>
                </w:tcPr>
                <w:p>
                  <w:pPr>
                    <w:pStyle w:val="38"/>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危险物质名称</w:t>
                  </w:r>
                </w:p>
              </w:tc>
              <w:tc>
                <w:tcPr>
                  <w:tcW w:w="1180" w:type="pct"/>
                  <w:tcBorders>
                    <w:tl2br w:val="nil"/>
                    <w:tr2bl w:val="nil"/>
                  </w:tcBorders>
                  <w:vAlign w:val="center"/>
                </w:tcPr>
                <w:p>
                  <w:pPr>
                    <w:pStyle w:val="38"/>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最大贮存量（t）</w:t>
                  </w:r>
                </w:p>
              </w:tc>
              <w:tc>
                <w:tcPr>
                  <w:tcW w:w="1085" w:type="pct"/>
                  <w:tcBorders>
                    <w:tl2br w:val="nil"/>
                    <w:tr2bl w:val="nil"/>
                  </w:tcBorders>
                  <w:vAlign w:val="center"/>
                </w:tcPr>
                <w:p>
                  <w:pPr>
                    <w:pStyle w:val="38"/>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临界量（t）</w:t>
                  </w:r>
                </w:p>
              </w:tc>
              <w:tc>
                <w:tcPr>
                  <w:tcW w:w="1026" w:type="pct"/>
                  <w:tcBorders>
                    <w:tl2br w:val="nil"/>
                    <w:tr2bl w:val="nil"/>
                  </w:tcBorders>
                  <w:vAlign w:val="center"/>
                </w:tcPr>
                <w:p>
                  <w:pPr>
                    <w:pStyle w:val="38"/>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1111"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轻柴油</w:t>
                  </w:r>
                </w:p>
              </w:tc>
              <w:tc>
                <w:tcPr>
                  <w:tcW w:w="1180"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w:t>
                  </w:r>
                </w:p>
              </w:tc>
              <w:tc>
                <w:tcPr>
                  <w:tcW w:w="1085"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2500</w:t>
                  </w:r>
                </w:p>
              </w:tc>
              <w:tc>
                <w:tcPr>
                  <w:tcW w:w="1026"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96"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1111"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次氯酸钠</w:t>
                  </w:r>
                </w:p>
              </w:tc>
              <w:tc>
                <w:tcPr>
                  <w:tcW w:w="1180"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0.5</w:t>
                  </w:r>
                </w:p>
              </w:tc>
              <w:tc>
                <w:tcPr>
                  <w:tcW w:w="1085"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w:t>
                  </w:r>
                </w:p>
              </w:tc>
              <w:tc>
                <w:tcPr>
                  <w:tcW w:w="1026" w:type="pct"/>
                  <w:tcBorders>
                    <w:tl2br w:val="nil"/>
                    <w:tr2bl w:val="nil"/>
                  </w:tcBorders>
                  <w:vAlign w:val="center"/>
                </w:tcPr>
                <w:p>
                  <w:pPr>
                    <w:pStyle w:val="38"/>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w:t>
                  </w:r>
                </w:p>
              </w:tc>
            </w:tr>
          </w:tbl>
          <w:p>
            <w:pPr>
              <w:pStyle w:val="86"/>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根据上表判断，q/Q=0.1028＜1，项目环境风险潜势判断为Ⅰ。根据《建设项目环境风险评价技术导则》（HJ169-2018）中环境风险评价工作等级划分标准，风险潜势判断为Ⅰ的可进行简单分析。</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）环境风险影响分析</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风险事故情形分析的主要目的是确定最大可信事故的发生概率。按照《建设项目环境风险评价技术导则》（HJ169-2018）中的定义，最大可信事故是指基于经验统计分析，在一定可能性区间内发生的事故中，造成环境危害最严重的事故。</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本项目风险事故情形主要为轻柴油引起的火灾事故，以及环保设施发生故障造成的废气超标排放和废水事故排放。</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）轻柴油泄露事故防范措施</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为了保证轻柴油仓储和使用安全，本项目轻柴油的存储条件和设施必须严格按照有关文件中的要求执行，并有严格的管理；</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总平面布置根据功能分区布置，各功能区，装置之间设环形通道，并与厂外道路相连，有利于安全疏散和消防；</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若发生泄漏，则所有轻柴油集中进行妥善处理，防止随意流散；</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为防暑、防寒、防尘、防毒，按有关设计规定，室内设置空调、采暖及通风，使室内保持良好的空气卫生条件；</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⑤</w:t>
            </w:r>
            <w:r>
              <w:rPr>
                <w:rFonts w:ascii="Times New Roman" w:hAnsi="Times New Roman" w:eastAsia="宋体" w:cs="Times New Roman"/>
                <w:color w:val="000000" w:themeColor="text1"/>
                <w:sz w:val="24"/>
                <w14:textFill>
                  <w14:solidFill>
                    <w14:schemeClr w14:val="tx1"/>
                  </w14:solidFill>
                </w14:textFill>
              </w:rPr>
              <w:t>应开展安全生产定期检查，严格实行岗位责任制，及时发现并消除隐患；制定防止事故发生的各种规章制度并严格执行；建立由厂主要领导负责的安全小组，对安全工作做到层层落实、真抓实干。按规定对操作人员进行安全操作技术培训，考试合格后方可上岗。</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（5）事故应急救援预案</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辅助材料中涉及柴油，设置一台柴油储罐进行日常储存。油罐区附近已设置围堰，防止油罐泄漏时油品四处渗漏。若油品不慎泄漏，则存在火灾、爆炸、泄漏等事故隐患，造成环境污染、生态破坏等危害；自然灾害也会对本项目造成破坏，从而导致污染等事件的发生；且项目属于公共场所，进出人员复杂，可能会传播疾病等严重影响人群健康和生命安全；还可能发生突发安全事故等。为了加强对危险化学品特大事故和其他事故进行有效的控制和预防，加油站需编制相应的应急预案。通过完善相应的应急预案，将事故的环境风险降至最低。</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事故救援计划应包括以下内容：</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①应急救援系统的建立和组成；②应急救援计划的制定；③应急培训和演习；④应急救援行动；⑤现场清除与净化；⑥系统的恢复和善后处理。</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事故应急预案应包括以下几个方面：</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停电时的应急预案；②易燃易爆物料（大量）泄漏时的应急预案；③发生火灾时的应急预案；④发生爆炸时的应急预案；⑤发生人员中毒时的应急预案；⑥发生人员化学烧伤时的应急预案；⑦生产操作出现严重触电、高温烫伤伤害和严重机械伤害时的应急预案；⑧生产操作控制出现异常情况时的应急预案；⑨特殊气象条件和自然火灾时的应急预案。</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（6）地下水及土壤污染防治措施</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柴油罐采用内钢外玻璃纤维增强塑料双层油罐，内筒的防腐由设备制造厂家处理，外筒不需要做防腐处理。地上管道采用铁红醇酸底漆（2层），再刷醇酸耐酸漆2～5层。项目油罐罐体为双壁，防渗漏，罐体外周为罐池，即使双壁破裂，也可确保泄漏的油品收集在罐池内不致外泄。同时，采取了防渗漏检查孔等渗漏溢出检测设施，因此可及时发现储油罐渗漏，油品渗漏量较小，再由于受储油罐罐基及防渗层的保护，渗漏出的成品油将积聚在储油区。储油区表面采用了混凝土硬化，较为密闭。危险废物暂存间采用钢筋混凝土结构，均具备防雨、防渗漏、防溢流功能，</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柴油储罐一旦发生溢出与渗漏事故，油品将积聚在项目内，对土壤、地下水不会造成影响。</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7</w:t>
            </w:r>
            <w:r>
              <w:rPr>
                <w:rFonts w:ascii="Times New Roman" w:hAnsi="Times New Roman" w:eastAsia="宋体" w:cs="Times New Roman"/>
                <w:color w:val="000000" w:themeColor="text1"/>
                <w:sz w:val="24"/>
                <w14:textFill>
                  <w14:solidFill>
                    <w14:schemeClr w14:val="tx1"/>
                  </w14:solidFill>
                </w14:textFill>
              </w:rPr>
              <w:t>）火灾事故防范措施</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建设单位应高度重视轻柴油</w:t>
            </w:r>
            <w:r>
              <w:rPr>
                <w:rFonts w:hint="eastAsia" w:ascii="Times New Roman" w:hAnsi="Times New Roman" w:eastAsia="宋体" w:cs="Times New Roman"/>
                <w:color w:val="000000" w:themeColor="text1"/>
                <w:sz w:val="24"/>
                <w:lang w:val="en-US"/>
                <w14:textFill>
                  <w14:solidFill>
                    <w14:schemeClr w14:val="tx1"/>
                  </w14:solidFill>
                </w14:textFill>
              </w:rPr>
              <w:t>贮存设施</w:t>
            </w:r>
            <w:r>
              <w:rPr>
                <w:rFonts w:ascii="Times New Roman" w:hAnsi="Times New Roman" w:eastAsia="宋体" w:cs="Times New Roman"/>
                <w:color w:val="000000" w:themeColor="text1"/>
                <w:sz w:val="24"/>
                <w14:textFill>
                  <w14:solidFill>
                    <w14:schemeClr w14:val="tx1"/>
                  </w14:solidFill>
                </w14:textFill>
              </w:rPr>
              <w:t>防火工作，按消防法规规定落实各项防火措施和制度， 确保不发生火险，预防火险的具体措施有：</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控制与消除火源，严禁吸烟、携带火种、穿带钉皮鞋等进入柴油储存点；</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罐、器、泵、管线等设备及其配套仪表选用合格产品，并进行定期检查、保养、维修；</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加强管理，定期检查，发现问题及时处理，如通风、管线是否泄漏，消防通道是否通畅等；</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做好安全措施，确保消防设施要保持完好以及采取必要的防静电措施。</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⑤柴油储存区域按照规范做好防渗、防风、防雨等措施，四周设置围堰或截流沟，防止柴油泄漏时物料四处蔓延，便于建设单位进行后续应急管理。</w:t>
            </w:r>
          </w:p>
          <w:p>
            <w:pPr>
              <w:pStyle w:val="86"/>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8</w:t>
            </w:r>
            <w:r>
              <w:rPr>
                <w:rFonts w:ascii="Times New Roman" w:hAnsi="Times New Roman" w:eastAsia="宋体" w:cs="Times New Roman"/>
                <w:color w:val="000000" w:themeColor="text1"/>
                <w:sz w:val="24"/>
                <w14:textFill>
                  <w14:solidFill>
                    <w14:schemeClr w14:val="tx1"/>
                  </w14:solidFill>
                </w14:textFill>
              </w:rPr>
              <w:t>）废气事故排放风险防范措施</w:t>
            </w:r>
          </w:p>
          <w:p>
            <w:pPr>
              <w:pStyle w:val="86"/>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环保管理人员应定期检查废气处理装置。工艺设计过程中应尽可能采用自动化控制系统，使系统更加易于控制，同时应设自动监控仪表。当自控仪表监测到废气的排放不符合排放标准时，工作人员应立即停止生产，阻断污染源，随即检查废气处理装置发生的问题并维修，通过专人检查、维修等尽快将问题妥善解决，保证处理效率并避免大量未经过处理后的有机废气排入大气中，对周边环境造成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）风险评价结论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本项目涉及的主要环境风险物质为</w:t>
            </w:r>
            <w:r>
              <w:rPr>
                <w:rFonts w:hint="eastAsia"/>
                <w:color w:val="000000" w:themeColor="text1"/>
                <w:sz w:val="24"/>
                <w14:textFill>
                  <w14:solidFill>
                    <w14:schemeClr w14:val="tx1"/>
                  </w14:solidFill>
                </w14:textFill>
              </w:rPr>
              <w:t>轻柴油</w:t>
            </w:r>
            <w:r>
              <w:rPr>
                <w:color w:val="000000" w:themeColor="text1"/>
                <w:sz w:val="24"/>
                <w14:textFill>
                  <w14:solidFill>
                    <w14:schemeClr w14:val="tx1"/>
                  </w14:solidFill>
                </w14:textFill>
              </w:rPr>
              <w:t>、次氯酸钠，风险事故风险类型主要为原料泄露事故以及废气事故排放，但只要建设单位认真落实本次评价提出的各项风险防范措施，运营中加强安全管理，杜绝认为操作失误，制定完善、有效的环境风险突发事件应急预案，一担发生事故采取有效的措施，防止事故蔓延，并做好事后环境污染治理工作，则项目的环境风险影响是可控的，不会对环境和人员安全造成明显的影响。</w:t>
            </w:r>
          </w:p>
          <w:p>
            <w:pPr>
              <w:autoSpaceDE w:val="0"/>
              <w:autoSpaceDN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-12</w:t>
            </w:r>
            <w:r>
              <w:rPr>
                <w:b/>
                <w:bCs/>
                <w:color w:val="000000" w:themeColor="text1"/>
                <w:sz w:val="24"/>
                <w14:textFill>
                  <w14:solidFill>
                    <w14:schemeClr w14:val="tx1"/>
                  </w14:solidFill>
                </w14:textFill>
              </w:rPr>
              <w:t xml:space="preserve"> 环境风险简单分析内容一览表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16"/>
              <w:gridCol w:w="903"/>
              <w:gridCol w:w="1900"/>
              <w:gridCol w:w="1811"/>
              <w:gridCol w:w="2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建设项目名称</w:t>
                  </w:r>
                </w:p>
              </w:tc>
              <w:tc>
                <w:tcPr>
                  <w:tcW w:w="4137" w:type="pct"/>
                  <w:gridSpan w:val="4"/>
                  <w:tcBorders>
                    <w:tl2br w:val="nil"/>
                    <w:tr2bl w:val="nil"/>
                  </w:tcBorders>
                  <w:vAlign w:val="center"/>
                </w:tcPr>
                <w:p>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南康区殡仪馆建设项目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建设地点</w:t>
                  </w:r>
                </w:p>
              </w:tc>
              <w:tc>
                <w:tcPr>
                  <w:tcW w:w="4137" w:type="pct"/>
                  <w:gridSpan w:val="4"/>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南康区唐江镇星光村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550"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15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114°43'47.066"</w:t>
                  </w:r>
                </w:p>
              </w:tc>
              <w:tc>
                <w:tcPr>
                  <w:tcW w:w="1103"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32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25°46'59.267"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主要危险物质及分布</w:t>
                  </w:r>
                </w:p>
              </w:tc>
              <w:tc>
                <w:tcPr>
                  <w:tcW w:w="4137" w:type="pct"/>
                  <w:gridSpan w:val="4"/>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项目涉及的化学品主要为轻柴油、次氯酸钠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环境影响途径及危害后果</w:t>
                  </w:r>
                </w:p>
              </w:tc>
              <w:tc>
                <w:tcPr>
                  <w:tcW w:w="4137" w:type="pct"/>
                  <w:gridSpan w:val="4"/>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企业生产过程中环境风险主要为废气处理装置运行故障，轻柴油使用过程中发生泄漏等风险。物料泄漏从而发生泄露会污染地下水、土壤及地表水。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2" w:type="pc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风险防范措施要求</w:t>
                  </w:r>
                </w:p>
              </w:tc>
              <w:tc>
                <w:tcPr>
                  <w:tcW w:w="4137" w:type="pct"/>
                  <w:gridSpan w:val="4"/>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保证环保设施的正常稳定运行，柴油库管理人员必须经过专业知识培训、柴油库建设必须符合国家规定的安全要求，柴油库贮存设施周围应分设围堰或地沟，地面宜作防腐处理。柴油库储存应有明显的货物标志</w:t>
                  </w:r>
                </w:p>
              </w:tc>
            </w:tr>
            <w:bookmarkEnd w:id="5"/>
            <w:bookmarkEnd w:id="6"/>
          </w:tbl>
          <w:p>
            <w:pPr>
              <w:pStyle w:val="20"/>
              <w:tabs>
                <w:tab w:val="left" w:pos="0"/>
              </w:tabs>
              <w:spacing w:before="120" w:beforeLines="50"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7、电磁辐射</w:t>
            </w:r>
          </w:p>
          <w:p>
            <w:pPr>
              <w:pStyle w:val="2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w:t>
            </w:r>
          </w:p>
          <w:p>
            <w:pPr>
              <w:pStyle w:val="86"/>
              <w:tabs>
                <w:tab w:val="left" w:pos="1190"/>
              </w:tabs>
              <w:autoSpaceDE w:val="0"/>
              <w:autoSpaceDN w:val="0"/>
              <w:spacing w:line="360" w:lineRule="auto"/>
              <w:rPr>
                <w:rFonts w:ascii="Times New Roman" w:hAnsi="Times New Roman" w:eastAsia="宋体" w:cs="Times New Roman"/>
                <w:b/>
                <w:bCs/>
                <w:color w:val="000000" w:themeColor="text1"/>
                <w:sz w:val="24"/>
                <w:lang w:val="en-US"/>
                <w14:textFill>
                  <w14:solidFill>
                    <w14:schemeClr w14:val="tx1"/>
                  </w14:solidFill>
                </w14:textFill>
              </w:rPr>
            </w:pPr>
            <w:r>
              <w:rPr>
                <w:rFonts w:hint="eastAsia" w:ascii="Times New Roman" w:hAnsi="Times New Roman" w:eastAsia="宋体" w:cs="Times New Roman"/>
                <w:b/>
                <w:bCs/>
                <w:color w:val="000000" w:themeColor="text1"/>
                <w:sz w:val="24"/>
                <w:lang w:val="en-US"/>
                <w14:textFill>
                  <w14:solidFill>
                    <w14:schemeClr w14:val="tx1"/>
                  </w14:solidFill>
                </w14:textFill>
              </w:rPr>
              <w:t>8</w:t>
            </w:r>
            <w:r>
              <w:rPr>
                <w:rFonts w:ascii="Times New Roman" w:hAnsi="Times New Roman" w:eastAsia="宋体" w:cs="Times New Roman"/>
                <w:b/>
                <w:bCs/>
                <w:color w:val="000000" w:themeColor="text1"/>
                <w:sz w:val="24"/>
                <w:lang w:val="en-US"/>
                <w14:textFill>
                  <w14:solidFill>
                    <w14:schemeClr w14:val="tx1"/>
                  </w14:solidFill>
                </w14:textFill>
              </w:rPr>
              <w:t>、环保</w:t>
            </w:r>
            <w:r>
              <w:rPr>
                <w:rFonts w:hint="eastAsia" w:ascii="Times New Roman" w:hAnsi="Times New Roman" w:eastAsia="宋体" w:cs="Times New Roman"/>
                <w:b/>
                <w:bCs/>
                <w:color w:val="000000" w:themeColor="text1"/>
                <w:sz w:val="24"/>
                <w:lang w:val="en-US"/>
                <w14:textFill>
                  <w14:solidFill>
                    <w14:schemeClr w14:val="tx1"/>
                  </w14:solidFill>
                </w14:textFill>
              </w:rPr>
              <w:t>投资</w:t>
            </w:r>
          </w:p>
          <w:p>
            <w:pPr>
              <w:pStyle w:val="16"/>
              <w:widowControl w:val="0"/>
              <w:autoSpaceDE w:val="0"/>
              <w:autoSpaceDN w:val="0"/>
              <w:snapToGrid/>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本项目总投资</w:t>
            </w:r>
            <w:r>
              <w:rPr>
                <w:rFonts w:hint="eastAsia"/>
                <w:color w:val="000000" w:themeColor="text1"/>
                <w:sz w:val="24"/>
                <w:szCs w:val="24"/>
                <w14:textFill>
                  <w14:solidFill>
                    <w14:schemeClr w14:val="tx1"/>
                  </w14:solidFill>
                </w14:textFill>
              </w:rPr>
              <w:t>40</w:t>
            </w:r>
            <w:r>
              <w:rPr>
                <w:color w:val="000000" w:themeColor="text1"/>
                <w:sz w:val="24"/>
                <w:szCs w:val="24"/>
                <w14:textFill>
                  <w14:solidFill>
                    <w14:schemeClr w14:val="tx1"/>
                  </w14:solidFill>
                </w14:textFill>
              </w:rPr>
              <w:t>00万元，其中环保投资</w:t>
            </w:r>
            <w:r>
              <w:rPr>
                <w:rFonts w:hint="eastAsia"/>
                <w:color w:val="000000" w:themeColor="text1"/>
                <w:sz w:val="24"/>
                <w:szCs w:val="24"/>
                <w14:textFill>
                  <w14:solidFill>
                    <w14:schemeClr w14:val="tx1"/>
                  </w14:solidFill>
                </w14:textFill>
              </w:rPr>
              <w:t>161</w:t>
            </w:r>
            <w:r>
              <w:rPr>
                <w:color w:val="000000" w:themeColor="text1"/>
                <w:sz w:val="24"/>
                <w:szCs w:val="24"/>
                <w14:textFill>
                  <w14:solidFill>
                    <w14:schemeClr w14:val="tx1"/>
                  </w14:solidFill>
                </w14:textFill>
              </w:rPr>
              <w:t>万元，占总投资的</w:t>
            </w:r>
            <w:r>
              <w:rPr>
                <w:rFonts w:hint="eastAsia"/>
                <w:color w:val="000000" w:themeColor="text1"/>
                <w:sz w:val="24"/>
                <w:szCs w:val="24"/>
                <w14:textFill>
                  <w14:solidFill>
                    <w14:schemeClr w14:val="tx1"/>
                  </w14:solidFill>
                </w14:textFill>
              </w:rPr>
              <w:t>4.0</w:t>
            </w:r>
            <w:r>
              <w:rPr>
                <w:color w:val="000000" w:themeColor="text1"/>
                <w:sz w:val="24"/>
                <w:szCs w:val="24"/>
                <w14:textFill>
                  <w14:solidFill>
                    <w14:schemeClr w14:val="tx1"/>
                  </w14:solidFill>
                </w14:textFill>
              </w:rPr>
              <w:t>%，环保设施投资见表</w:t>
            </w:r>
            <w:r>
              <w:rPr>
                <w:rFonts w:hint="eastAsia"/>
                <w:color w:val="000000" w:themeColor="text1"/>
                <w:sz w:val="24"/>
                <w:szCs w:val="24"/>
                <w14:textFill>
                  <w14:solidFill>
                    <w14:schemeClr w14:val="tx1"/>
                  </w14:solidFill>
                </w14:textFill>
              </w:rPr>
              <w:t>4-10</w:t>
            </w:r>
            <w:r>
              <w:rPr>
                <w:color w:val="000000" w:themeColor="text1"/>
                <w:sz w:val="24"/>
                <w:szCs w:val="24"/>
                <w14:textFill>
                  <w14:solidFill>
                    <w14:schemeClr w14:val="tx1"/>
                  </w14:solidFill>
                </w14:textFill>
              </w:rPr>
              <w:t>。</w:t>
            </w:r>
          </w:p>
          <w:p>
            <w:pPr>
              <w:tabs>
                <w:tab w:val="left" w:pos="847"/>
              </w:tabs>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4-10</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环保</w:t>
            </w:r>
            <w:r>
              <w:rPr>
                <w:b/>
                <w:color w:val="000000" w:themeColor="text1"/>
                <w:sz w:val="24"/>
                <w14:textFill>
                  <w14:solidFill>
                    <w14:schemeClr w14:val="tx1"/>
                  </w14:solidFill>
                </w14:textFill>
              </w:rPr>
              <w:t>投资估算</w:t>
            </w:r>
          </w:p>
          <w:tbl>
            <w:tblPr>
              <w:tblStyle w:val="28"/>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64"/>
              <w:gridCol w:w="2673"/>
              <w:gridCol w:w="1044"/>
              <w:gridCol w:w="35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528" w:type="pct"/>
                  <w:tcBorders>
                    <w:left w:val="nil"/>
                    <w:bottom w:val="single" w:color="000000" w:sz="2" w:space="0"/>
                    <w:right w:val="single" w:color="000000" w:sz="2"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污染防</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治项目</w:t>
                  </w:r>
                </w:p>
              </w:tc>
              <w:tc>
                <w:tcPr>
                  <w:tcW w:w="1634" w:type="pct"/>
                  <w:tcBorders>
                    <w:left w:val="single" w:color="000000" w:sz="2" w:space="0"/>
                    <w:bottom w:val="single" w:color="000000" w:sz="2" w:space="0"/>
                    <w:right w:val="single" w:color="000000" w:sz="2"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c>
                <w:tcPr>
                  <w:tcW w:w="638" w:type="pct"/>
                  <w:tcBorders>
                    <w:left w:val="single" w:color="000000" w:sz="2" w:space="0"/>
                    <w:bottom w:val="single" w:color="000000" w:sz="2" w:space="0"/>
                    <w:right w:val="single" w:color="000000" w:sz="2"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环保投资</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（万元）</w:t>
                  </w:r>
                </w:p>
              </w:tc>
              <w:tc>
                <w:tcPr>
                  <w:tcW w:w="2200" w:type="pct"/>
                  <w:tcBorders>
                    <w:left w:val="single" w:color="000000" w:sz="2" w:space="0"/>
                    <w:bottom w:val="single" w:color="000000" w:sz="2" w:space="0"/>
                    <w:right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验收标准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28" w:type="pct"/>
                  <w:vMerge w:val="restart"/>
                  <w:tcBorders>
                    <w:top w:val="single" w:color="000000" w:sz="2" w:space="0"/>
                    <w:left w:val="nil"/>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w:t>
                  </w:r>
                </w:p>
              </w:tc>
              <w:tc>
                <w:tcPr>
                  <w:tcW w:w="1632"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火化车间废气处理系统</w:t>
                  </w:r>
                </w:p>
              </w:tc>
              <w:tc>
                <w:tcPr>
                  <w:tcW w:w="638"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0</w:t>
                  </w:r>
                </w:p>
              </w:tc>
              <w:tc>
                <w:tcPr>
                  <w:tcW w:w="2199" w:type="pct"/>
                  <w:tcBorders>
                    <w:top w:val="single" w:color="000000" w:sz="2" w:space="0"/>
                    <w:left w:val="single" w:color="000000" w:sz="2" w:space="0"/>
                    <w:bottom w:val="single" w:color="000000" w:sz="2"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《火葬场大气污染物排放标准》</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（GB13801-2015）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528" w:type="pct"/>
                  <w:vMerge w:val="continue"/>
                  <w:tcBorders>
                    <w:left w:val="nil"/>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p>
              </w:tc>
              <w:tc>
                <w:tcPr>
                  <w:tcW w:w="1634"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油烟净化器</w:t>
                  </w:r>
                </w:p>
              </w:tc>
              <w:tc>
                <w:tcPr>
                  <w:tcW w:w="638"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2200" w:type="pct"/>
                  <w:tcBorders>
                    <w:top w:val="single" w:color="000000" w:sz="2" w:space="0"/>
                    <w:left w:val="single" w:color="000000" w:sz="2" w:space="0"/>
                    <w:bottom w:val="single" w:color="000000" w:sz="2"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《饮食业油烟排放标准》（GB18483-2001）小型标准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528" w:type="pct"/>
                  <w:tcBorders>
                    <w:top w:val="single" w:color="000000" w:sz="2" w:space="0"/>
                    <w:left w:val="nil"/>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1634"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化粪池、消毒池</w:t>
                  </w:r>
                </w:p>
              </w:tc>
              <w:tc>
                <w:tcPr>
                  <w:tcW w:w="638"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w:t>
                  </w:r>
                </w:p>
              </w:tc>
              <w:tc>
                <w:tcPr>
                  <w:tcW w:w="2200" w:type="pct"/>
                  <w:tcBorders>
                    <w:top w:val="single" w:color="000000" w:sz="2" w:space="0"/>
                    <w:left w:val="single" w:color="000000" w:sz="2" w:space="0"/>
                    <w:bottom w:val="single" w:color="000000" w:sz="2"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唐江镇</w:t>
                  </w:r>
                  <w:r>
                    <w:rPr>
                      <w:color w:val="000000" w:themeColor="text1"/>
                      <w:szCs w:val="21"/>
                      <w14:textFill>
                        <w14:solidFill>
                          <w14:schemeClr w14:val="tx1"/>
                        </w14:solidFill>
                      </w14:textFill>
                    </w:rPr>
                    <w:t>污水处理厂标准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528" w:type="pct"/>
                  <w:tcBorders>
                    <w:top w:val="single" w:color="000000" w:sz="2" w:space="0"/>
                    <w:left w:val="nil"/>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1634"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消声、隔声、减振等综合措施，并对机动车辆加强管理</w:t>
                  </w:r>
                </w:p>
              </w:tc>
              <w:tc>
                <w:tcPr>
                  <w:tcW w:w="638"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200" w:type="pct"/>
                  <w:tcBorders>
                    <w:top w:val="single" w:color="000000" w:sz="2" w:space="0"/>
                    <w:left w:val="single" w:color="000000" w:sz="2" w:space="0"/>
                    <w:bottom w:val="single" w:color="000000" w:sz="2"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（GB12348-2008）2类标准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28" w:type="pct"/>
                  <w:tcBorders>
                    <w:top w:val="single" w:color="000000" w:sz="2" w:space="0"/>
                    <w:left w:val="nil"/>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634"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固废分类收集，生活垃圾统一收集于垃圾桶，定期运至当地垃圾处理点；</w:t>
                  </w:r>
                  <w:r>
                    <w:rPr>
                      <w:rFonts w:hint="eastAsia"/>
                      <w:color w:val="000000" w:themeColor="text1"/>
                      <w:szCs w:val="21"/>
                      <w14:textFill>
                        <w14:solidFill>
                          <w14:schemeClr w14:val="tx1"/>
                        </w14:solidFill>
                      </w14:textFill>
                    </w:rPr>
                    <w:t>危废暂存间</w:t>
                  </w:r>
                </w:p>
              </w:tc>
              <w:tc>
                <w:tcPr>
                  <w:tcW w:w="638" w:type="pct"/>
                  <w:tcBorders>
                    <w:top w:val="single" w:color="000000" w:sz="2" w:space="0"/>
                    <w:left w:val="single" w:color="000000" w:sz="2" w:space="0"/>
                    <w:bottom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200" w:type="pct"/>
                  <w:tcBorders>
                    <w:top w:val="single" w:color="000000" w:sz="2" w:space="0"/>
                    <w:left w:val="single" w:color="000000" w:sz="2" w:space="0"/>
                    <w:bottom w:val="single" w:color="000000" w:sz="2"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《一般工业固体废物贮存和填埋污染控制标准》（GB 18599-2020）；《危险废物贮存污染控制标准》(GB18597-2001)及其修改单要求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2162" w:type="pct"/>
                  <w:gridSpan w:val="2"/>
                  <w:tcBorders>
                    <w:top w:val="single" w:color="000000" w:sz="2" w:space="0"/>
                    <w:left w:val="nil"/>
                    <w:right w:val="single" w:color="000000"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638" w:type="pct"/>
                  <w:tcBorders>
                    <w:top w:val="single" w:color="000000" w:sz="2" w:space="0"/>
                    <w:left w:val="single" w:color="000000" w:sz="2" w:space="0"/>
                    <w:right w:val="single" w:color="000000" w:sz="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w:t>
                  </w:r>
                </w:p>
              </w:tc>
              <w:tc>
                <w:tcPr>
                  <w:tcW w:w="2200" w:type="pct"/>
                  <w:tcBorders>
                    <w:top w:val="single" w:color="000000" w:sz="2" w:space="0"/>
                    <w:left w:val="single" w:color="000000" w:sz="2"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pStyle w:val="20"/>
              <w:tabs>
                <w:tab w:val="left" w:pos="0"/>
              </w:tabs>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9、环境监测计划</w:t>
            </w:r>
          </w:p>
          <w:p>
            <w:pPr>
              <w:pStyle w:val="12"/>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根据《排污许可申请与核发技术规范水处理（试行）》（HJ978-2018），结合项目工程特点，污染源及污染物排放情况，提出如下监测要求：</w:t>
            </w:r>
          </w:p>
          <w:p>
            <w:pPr>
              <w:pStyle w:val="12"/>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1.定期对产生的废水、废气、厂界噪声进行监测；</w:t>
            </w:r>
          </w:p>
          <w:p>
            <w:pPr>
              <w:pStyle w:val="12"/>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2.定期向环境管理部门上报监测结果；</w:t>
            </w:r>
          </w:p>
          <w:p>
            <w:pPr>
              <w:pStyle w:val="12"/>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3.监测中发现超标排放或其他异常情况，及时报告企业管理部门查找原因、解决处理，预测特殊情况应随时监测。项目环境监测计划见下表4-11</w:t>
            </w:r>
            <w:r>
              <w:rPr>
                <w:color w:val="000000" w:themeColor="text1"/>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4-11</w:t>
            </w:r>
            <w:r>
              <w:rPr>
                <w:b/>
                <w:color w:val="000000" w:themeColor="text1"/>
                <w:sz w:val="24"/>
                <w14:textFill>
                  <w14:solidFill>
                    <w14:schemeClr w14:val="tx1"/>
                  </w14:solidFill>
                </w14:textFill>
              </w:rPr>
              <w:t xml:space="preserve">  运营期污染源监测计划一览表</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87"/>
              <w:gridCol w:w="1492"/>
              <w:gridCol w:w="2172"/>
              <w:gridCol w:w="1220"/>
              <w:gridCol w:w="26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19" w:type="pct"/>
                  <w:vAlign w:val="center"/>
                </w:tcPr>
                <w:p>
                  <w:pPr>
                    <w:pStyle w:val="86"/>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w:t>
                  </w:r>
                </w:p>
              </w:tc>
              <w:tc>
                <w:tcPr>
                  <w:tcW w:w="909" w:type="pct"/>
                  <w:vAlign w:val="center"/>
                </w:tcPr>
                <w:p>
                  <w:pPr>
                    <w:pStyle w:val="86"/>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监测点位</w:t>
                  </w:r>
                </w:p>
              </w:tc>
              <w:tc>
                <w:tcPr>
                  <w:tcW w:w="1323" w:type="pct"/>
                  <w:vAlign w:val="center"/>
                </w:tcPr>
                <w:p>
                  <w:pPr>
                    <w:pStyle w:val="86"/>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监测指标</w:t>
                  </w:r>
                </w:p>
              </w:tc>
              <w:tc>
                <w:tcPr>
                  <w:tcW w:w="743" w:type="pct"/>
                  <w:vAlign w:val="center"/>
                </w:tcPr>
                <w:p>
                  <w:pPr>
                    <w:pStyle w:val="86"/>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监测频次</w:t>
                  </w:r>
                </w:p>
              </w:tc>
              <w:tc>
                <w:tcPr>
                  <w:tcW w:w="1606" w:type="pct"/>
                  <w:vAlign w:val="center"/>
                </w:tcPr>
                <w:p>
                  <w:pPr>
                    <w:pStyle w:val="86"/>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9" w:type="pct"/>
                  <w:vMerge w:val="restar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废气</w:t>
                  </w:r>
                </w:p>
              </w:tc>
              <w:tc>
                <w:tcPr>
                  <w:tcW w:w="909" w:type="pct"/>
                  <w:vMerge w:val="restart"/>
                  <w:vAlign w:val="center"/>
                </w:tcPr>
                <w:p>
                  <w:pPr>
                    <w:pStyle w:val="86"/>
                    <w:jc w:val="center"/>
                    <w:rPr>
                      <w:rFonts w:ascii="Times New Roman" w:hAnsi="Times New Roman" w:cs="Times New Roman" w:eastAsiaTheme="minorEastAsia"/>
                      <w:color w:val="000000" w:themeColor="text1"/>
                      <w:szCs w:val="21"/>
                      <w:lang w:val="en-US"/>
                      <w14:textFill>
                        <w14:solidFill>
                          <w14:schemeClr w14:val="tx1"/>
                        </w14:solidFill>
                      </w14:textFill>
                    </w:rPr>
                  </w:pPr>
                  <w:r>
                    <w:rPr>
                      <w:rFonts w:ascii="Times New Roman" w:hAnsi="Times New Roman" w:cs="Times New Roman" w:eastAsiaTheme="minorEastAsia"/>
                      <w:color w:val="000000" w:themeColor="text1"/>
                      <w:szCs w:val="21"/>
                      <w:lang w:val="en-US"/>
                      <w14:textFill>
                        <w14:solidFill>
                          <w14:schemeClr w14:val="tx1"/>
                        </w14:solidFill>
                      </w14:textFill>
                    </w:rPr>
                    <w:t>火化炉废气</w:t>
                  </w:r>
                </w:p>
                <w:p>
                  <w:pPr>
                    <w:pStyle w:val="86"/>
                    <w:jc w:val="center"/>
                    <w:rPr>
                      <w:rFonts w:ascii="Times New Roman" w:hAnsi="Times New Roman" w:cs="Times New Roman" w:eastAsiaTheme="minorEastAsia"/>
                      <w:color w:val="000000" w:themeColor="text1"/>
                      <w:szCs w:val="21"/>
                      <w:lang w:val="en-US"/>
                      <w14:textFill>
                        <w14:solidFill>
                          <w14:schemeClr w14:val="tx1"/>
                        </w14:solidFill>
                      </w14:textFill>
                    </w:rPr>
                  </w:pPr>
                  <w:r>
                    <w:rPr>
                      <w:rFonts w:ascii="Times New Roman" w:hAnsi="Times New Roman" w:cs="Times New Roman" w:eastAsiaTheme="minorEastAsia"/>
                      <w:color w:val="000000" w:themeColor="text1"/>
                      <w:szCs w:val="21"/>
                      <w:lang w:val="en-US"/>
                      <w14:textFill>
                        <w14:solidFill>
                          <w14:schemeClr w14:val="tx1"/>
                        </w14:solidFill>
                      </w14:textFill>
                    </w:rPr>
                    <w:t>（排气筒）</w:t>
                  </w:r>
                </w:p>
              </w:tc>
              <w:tc>
                <w:tcPr>
                  <w:tcW w:w="1323"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颗粒物、二氧化硫、氮氧化物、汞、二噁英</w:t>
                  </w:r>
                </w:p>
              </w:tc>
              <w:tc>
                <w:tcPr>
                  <w:tcW w:w="743" w:type="pct"/>
                  <w:vAlign w:val="center"/>
                </w:tcPr>
                <w:p>
                  <w:pPr>
                    <w:pStyle w:val="139"/>
                    <w:spacing w:line="400" w:lineRule="exac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1次/半年</w:t>
                  </w:r>
                </w:p>
                <w:p>
                  <w:pPr>
                    <w:pStyle w:val="136"/>
                    <w:rPr>
                      <w:rFonts w:eastAsiaTheme="minorEastAsia"/>
                      <w:color w:val="000000" w:themeColor="text1"/>
                      <w:kern w:val="0"/>
                      <w:szCs w:val="21"/>
                      <w14:textFill>
                        <w14:solidFill>
                          <w14:schemeClr w14:val="tx1"/>
                        </w14:solidFill>
                      </w14:textFill>
                    </w:rPr>
                  </w:pPr>
                </w:p>
              </w:tc>
              <w:tc>
                <w:tcPr>
                  <w:tcW w:w="1606" w:type="pct"/>
                  <w:vMerge w:val="restar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《火葬场大气污染物排放标准》（GB13801-2015）中表</w:t>
                  </w:r>
                  <w:r>
                    <w:rPr>
                      <w:rFonts w:ascii="Times New Roman" w:hAnsi="Times New Roman" w:cs="Times New Roman" w:eastAsiaTheme="minorEastAsia"/>
                      <w:color w:val="000000" w:themeColor="text1"/>
                      <w:szCs w:val="21"/>
                      <w:lang w:val="en-US"/>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9" w:type="pct"/>
                  <w:vMerge w:val="continue"/>
                  <w:vAlign w:val="center"/>
                </w:tcPr>
                <w:p>
                  <w:pPr>
                    <w:jc w:val="center"/>
                    <w:rPr>
                      <w:rFonts w:eastAsiaTheme="minorEastAsia"/>
                      <w:color w:val="000000" w:themeColor="text1"/>
                      <w:szCs w:val="21"/>
                      <w14:textFill>
                        <w14:solidFill>
                          <w14:schemeClr w14:val="tx1"/>
                        </w14:solidFill>
                      </w14:textFill>
                    </w:rPr>
                  </w:pPr>
                </w:p>
              </w:tc>
              <w:tc>
                <w:tcPr>
                  <w:tcW w:w="909" w:type="pct"/>
                  <w:vMerge w:val="continue"/>
                  <w:vAlign w:val="center"/>
                </w:tcPr>
                <w:p>
                  <w:pPr>
                    <w:pStyle w:val="86"/>
                    <w:jc w:val="center"/>
                    <w:rPr>
                      <w:rFonts w:ascii="Times New Roman" w:hAnsi="Times New Roman" w:cs="Times New Roman" w:eastAsiaTheme="minorEastAsia"/>
                      <w:color w:val="000000" w:themeColor="text1"/>
                      <w:szCs w:val="21"/>
                      <w:lang w:val="en-US"/>
                      <w14:textFill>
                        <w14:solidFill>
                          <w14:schemeClr w14:val="tx1"/>
                        </w14:solidFill>
                      </w14:textFill>
                    </w:rPr>
                  </w:pPr>
                </w:p>
              </w:tc>
              <w:tc>
                <w:tcPr>
                  <w:tcW w:w="1323" w:type="pct"/>
                  <w:vAlign w:val="center"/>
                </w:tcPr>
                <w:p>
                  <w:pPr>
                    <w:spacing w:line="40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w:t>
                  </w:r>
                </w:p>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HCL</w:t>
                  </w:r>
                </w:p>
              </w:tc>
              <w:tc>
                <w:tcPr>
                  <w:tcW w:w="743" w:type="pct"/>
                  <w:vAlign w:val="center"/>
                </w:tcPr>
                <w:p>
                  <w:pPr>
                    <w:pStyle w:val="136"/>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1次/年</w:t>
                  </w:r>
                </w:p>
              </w:tc>
              <w:tc>
                <w:tcPr>
                  <w:tcW w:w="1606" w:type="pct"/>
                  <w:vMerge w:val="continue"/>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19"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废水</w:t>
                  </w:r>
                </w:p>
              </w:tc>
              <w:tc>
                <w:tcPr>
                  <w:tcW w:w="909"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化粪池</w:t>
                  </w:r>
                </w:p>
              </w:tc>
              <w:tc>
                <w:tcPr>
                  <w:tcW w:w="1323" w:type="pct"/>
                  <w:vAlign w:val="center"/>
                </w:tcPr>
                <w:p>
                  <w:pPr>
                    <w:pStyle w:val="86"/>
                    <w:jc w:val="center"/>
                    <w:rPr>
                      <w:rFonts w:ascii="Times New Roman" w:hAnsi="Times New Roman" w:cs="Times New Roman" w:eastAsiaTheme="minorEastAsia"/>
                      <w:color w:val="000000" w:themeColor="text1"/>
                      <w:szCs w:val="21"/>
                      <w:lang w:val="en-US"/>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流量、pH、化学需氧量、氨氮、</w:t>
                  </w:r>
                  <w:r>
                    <w:rPr>
                      <w:rFonts w:ascii="Times New Roman" w:hAnsi="Times New Roman" w:cs="Times New Roman" w:eastAsiaTheme="minorEastAsia"/>
                      <w:color w:val="000000" w:themeColor="text1"/>
                      <w:szCs w:val="21"/>
                      <w:lang w:val="en-US"/>
                      <w14:textFill>
                        <w14:solidFill>
                          <w14:schemeClr w14:val="tx1"/>
                        </w14:solidFill>
                      </w14:textFill>
                    </w:rPr>
                    <w:t>五日生化需氧量、</w:t>
                  </w:r>
                  <w:r>
                    <w:rPr>
                      <w:rFonts w:ascii="Times New Roman" w:hAnsi="Times New Roman" w:cs="Times New Roman" w:eastAsiaTheme="minorEastAsia"/>
                      <w:color w:val="000000" w:themeColor="text1"/>
                      <w:szCs w:val="21"/>
                      <w14:textFill>
                        <w14:solidFill>
                          <w14:schemeClr w14:val="tx1"/>
                        </w14:solidFill>
                      </w14:textFill>
                    </w:rPr>
                    <w:t>悬浮物、</w:t>
                  </w:r>
                  <w:r>
                    <w:rPr>
                      <w:rFonts w:ascii="Times New Roman" w:hAnsi="Times New Roman" w:cs="Times New Roman" w:eastAsiaTheme="minorEastAsia"/>
                      <w:color w:val="000000" w:themeColor="text1"/>
                      <w:szCs w:val="21"/>
                      <w:lang w:val="en-US"/>
                      <w14:textFill>
                        <w14:solidFill>
                          <w14:schemeClr w14:val="tx1"/>
                        </w14:solidFill>
                      </w14:textFill>
                    </w:rPr>
                    <w:t>动植物油</w:t>
                  </w:r>
                </w:p>
              </w:tc>
              <w:tc>
                <w:tcPr>
                  <w:tcW w:w="743" w:type="pct"/>
                  <w:vAlign w:val="center"/>
                </w:tcPr>
                <w:p>
                  <w:pPr>
                    <w:pStyle w:val="136"/>
                    <w:rPr>
                      <w:rFonts w:eastAsiaTheme="minorEastAsia"/>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1次/年</w:t>
                  </w:r>
                </w:p>
              </w:tc>
              <w:tc>
                <w:tcPr>
                  <w:tcW w:w="1606"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lang w:val="en-US"/>
                      <w14:textFill>
                        <w14:solidFill>
                          <w14:schemeClr w14:val="tx1"/>
                        </w14:solidFill>
                      </w14:textFill>
                    </w:rPr>
                    <w:t>唐江镇污水处理厂接管标准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19"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噪声</w:t>
                  </w:r>
                </w:p>
              </w:tc>
              <w:tc>
                <w:tcPr>
                  <w:tcW w:w="909"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厂界</w:t>
                  </w:r>
                </w:p>
              </w:tc>
              <w:tc>
                <w:tcPr>
                  <w:tcW w:w="1323"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Leq(A)</w:t>
                  </w:r>
                </w:p>
              </w:tc>
              <w:tc>
                <w:tcPr>
                  <w:tcW w:w="743"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1次/季度</w:t>
                  </w:r>
                </w:p>
              </w:tc>
              <w:tc>
                <w:tcPr>
                  <w:tcW w:w="1606" w:type="pct"/>
                  <w:vAlign w:val="center"/>
                </w:tcPr>
                <w:p>
                  <w:pPr>
                    <w:pStyle w:val="86"/>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 xml:space="preserve">《工业企业厂界环境噪声排放标准》(GB12348-2008) 中 </w:t>
                  </w:r>
                  <w:r>
                    <w:rPr>
                      <w:rFonts w:ascii="Times New Roman" w:hAnsi="Times New Roman" w:cs="Times New Roman" w:eastAsiaTheme="minorEastAsia"/>
                      <w:color w:val="000000" w:themeColor="text1"/>
                      <w:szCs w:val="21"/>
                      <w:lang w:val="en-US"/>
                      <w14:textFill>
                        <w14:solidFill>
                          <w14:schemeClr w14:val="tx1"/>
                        </w14:solidFill>
                      </w14:textFill>
                    </w:rPr>
                    <w:t>2</w:t>
                  </w:r>
                  <w:r>
                    <w:rPr>
                      <w:rFonts w:ascii="Times New Roman" w:hAnsi="Times New Roman" w:cs="Times New Roman" w:eastAsiaTheme="minorEastAsia"/>
                      <w:color w:val="000000" w:themeColor="text1"/>
                      <w:szCs w:val="21"/>
                      <w14:textFill>
                        <w14:solidFill>
                          <w14:schemeClr w14:val="tx1"/>
                        </w14:solidFill>
                      </w14:textFill>
                    </w:rPr>
                    <w:t>类标准</w:t>
                  </w:r>
                </w:p>
              </w:tc>
            </w:tr>
          </w:tbl>
          <w:p>
            <w:pPr>
              <w:adjustRightInd w:val="0"/>
              <w:snapToGrid w:val="0"/>
              <w:rPr>
                <w:bCs/>
                <w:color w:val="000000" w:themeColor="text1"/>
                <w:szCs w:val="21"/>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eastAsia="黑体"/>
          <w:color w:val="000000" w:themeColor="text1"/>
          <w:sz w:val="30"/>
          <w:szCs w:val="30"/>
          <w14:textFill>
            <w14:solidFill>
              <w14:schemeClr w14:val="tx1"/>
            </w14:solidFill>
          </w14:textFill>
        </w:rPr>
        <w:t>五、</w:t>
      </w:r>
      <w:bookmarkStart w:id="7" w:name="_Hlk54167917"/>
      <w:r>
        <w:rPr>
          <w:rFonts w:ascii="Times New Roman" w:hAnsi="Times New Roman" w:eastAsia="黑体"/>
          <w:color w:val="000000" w:themeColor="text1"/>
          <w:sz w:val="30"/>
          <w:szCs w:val="30"/>
          <w14:textFill>
            <w14:solidFill>
              <w14:schemeClr w14:val="tx1"/>
            </w14:solidFill>
          </w14:textFill>
        </w:rPr>
        <w:t>环境保护措施监督检查清单</w:t>
      </w:r>
      <w:bookmarkEnd w:id="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897"/>
        <w:gridCol w:w="1523"/>
        <w:gridCol w:w="1738"/>
        <w:gridCol w:w="2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tcBorders>
              <w:tl2br w:val="single" w:color="auto" w:sz="4" w:space="0"/>
            </w:tcBorders>
            <w:vAlign w:val="center"/>
          </w:tcPr>
          <w:p>
            <w:pPr>
              <w:adjustRightInd w:val="0"/>
              <w:snapToGrid w:val="0"/>
              <w:ind w:firstLine="8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89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名称）/污染源</w:t>
            </w:r>
          </w:p>
        </w:tc>
        <w:tc>
          <w:tcPr>
            <w:tcW w:w="152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73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措施</w:t>
            </w:r>
          </w:p>
        </w:tc>
        <w:tc>
          <w:tcPr>
            <w:tcW w:w="215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89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火化炉废气排放口</w:t>
            </w:r>
          </w:p>
        </w:tc>
        <w:tc>
          <w:tcPr>
            <w:tcW w:w="1523" w:type="dxa"/>
            <w:vAlign w:val="center"/>
          </w:tcPr>
          <w:p>
            <w:pPr>
              <w:pStyle w:val="86"/>
              <w:jc w:val="center"/>
              <w:rPr>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烟尘</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SO</w:t>
            </w:r>
            <w:r>
              <w:rPr>
                <w:rFonts w:ascii="Times New Roman" w:hAnsi="Times New Roman" w:eastAsia="宋体" w:cs="Times New Roman"/>
                <w:color w:val="000000" w:themeColor="text1"/>
                <w:sz w:val="24"/>
                <w:vertAlign w:val="subscript"/>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NOx</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CO</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HCl</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汞</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二噁英</w:t>
            </w:r>
          </w:p>
        </w:tc>
        <w:tc>
          <w:tcPr>
            <w:tcW w:w="1738" w:type="dxa"/>
            <w:vAlign w:val="center"/>
          </w:tcPr>
          <w:p>
            <w:pPr>
              <w:pStyle w:val="86"/>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bidi="ar-SA"/>
                <w14:textFill>
                  <w14:solidFill>
                    <w14:schemeClr w14:val="tx1"/>
                  </w14:solidFill>
                </w14:textFill>
              </w:rPr>
              <w:t>2套</w:t>
            </w:r>
            <w:r>
              <w:rPr>
                <w:rFonts w:ascii="Times New Roman" w:hAnsi="Times New Roman" w:eastAsia="宋体" w:cs="Times New Roman"/>
                <w:color w:val="000000" w:themeColor="text1"/>
                <w:sz w:val="24"/>
                <w:lang w:val="en-US" w:bidi="ar-SA"/>
                <w14:textFill>
                  <w14:solidFill>
                    <w14:schemeClr w14:val="tx1"/>
                  </w14:solidFill>
                </w14:textFill>
              </w:rPr>
              <w:t>急冷装置+布袋除尘+双碱水膜脱硫+</w:t>
            </w:r>
            <w:r>
              <w:rPr>
                <w:rFonts w:hint="eastAsia" w:ascii="Times New Roman" w:hAnsi="Times New Roman" w:eastAsia="宋体" w:cs="Times New Roman"/>
                <w:color w:val="000000" w:themeColor="text1"/>
                <w:sz w:val="24"/>
                <w:lang w:val="en-US" w:bidi="ar-SA"/>
                <w14:textFill>
                  <w14:solidFill>
                    <w14:schemeClr w14:val="tx1"/>
                  </w14:solidFill>
                </w14:textFill>
              </w:rPr>
              <w:t>活性炭喷射</w:t>
            </w:r>
            <w:r>
              <w:rPr>
                <w:rFonts w:ascii="Times New Roman" w:hAnsi="Times New Roman" w:eastAsia="宋体" w:cs="Times New Roman"/>
                <w:color w:val="000000" w:themeColor="text1"/>
                <w:sz w:val="24"/>
                <w:lang w:val="en-US" w:bidi="ar-SA"/>
                <w14:textFill>
                  <w14:solidFill>
                    <w14:schemeClr w14:val="tx1"/>
                  </w14:solidFill>
                </w14:textFill>
              </w:rPr>
              <w:t>处理后通过15m高排气筒排放</w:t>
            </w:r>
          </w:p>
        </w:tc>
        <w:tc>
          <w:tcPr>
            <w:tcW w:w="2159" w:type="dxa"/>
            <w:vAlign w:val="center"/>
          </w:tcPr>
          <w:p>
            <w:pPr>
              <w:pStyle w:val="86"/>
              <w:jc w:val="center"/>
              <w:rPr>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《火葬场大气污染物排放标准》（GB13801-2015）中表</w:t>
            </w:r>
            <w:r>
              <w:rPr>
                <w:rFonts w:hint="eastAsia" w:ascii="Times New Roman" w:hAnsi="Times New Roman" w:eastAsia="宋体" w:cs="Times New Roman"/>
                <w:color w:val="000000" w:themeColor="text1"/>
                <w:sz w:val="24"/>
                <w:lang w:val="en-US"/>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Merge w:val="continue"/>
            <w:vAlign w:val="center"/>
          </w:tcPr>
          <w:p>
            <w:pPr>
              <w:adjustRightInd w:val="0"/>
              <w:snapToGrid w:val="0"/>
              <w:jc w:val="center"/>
              <w:rPr>
                <w:color w:val="000000" w:themeColor="text1"/>
                <w:sz w:val="24"/>
                <w14:textFill>
                  <w14:solidFill>
                    <w14:schemeClr w14:val="tx1"/>
                  </w14:solidFill>
                </w14:textFill>
              </w:rPr>
            </w:pPr>
          </w:p>
        </w:tc>
        <w:tc>
          <w:tcPr>
            <w:tcW w:w="189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食堂油烟排放口</w:t>
            </w:r>
          </w:p>
        </w:tc>
        <w:tc>
          <w:tcPr>
            <w:tcW w:w="1523" w:type="dxa"/>
            <w:vAlign w:val="center"/>
          </w:tcPr>
          <w:p>
            <w:pPr>
              <w:pStyle w:val="86"/>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油烟</w:t>
            </w:r>
          </w:p>
        </w:tc>
        <w:tc>
          <w:tcPr>
            <w:tcW w:w="1738" w:type="dxa"/>
            <w:vAlign w:val="center"/>
          </w:tcPr>
          <w:p>
            <w:pPr>
              <w:pStyle w:val="86"/>
              <w:jc w:val="center"/>
              <w:rPr>
                <w:rFonts w:ascii="Times New Roman" w:hAnsi="Times New Roman" w:eastAsia="宋体" w:cs="Times New Roman"/>
                <w:color w:val="000000" w:themeColor="text1"/>
                <w:sz w:val="24"/>
                <w:lang w:val="en-US" w:bidi="ar-SA"/>
                <w14:textFill>
                  <w14:solidFill>
                    <w14:schemeClr w14:val="tx1"/>
                  </w14:solidFill>
                </w14:textFill>
              </w:rPr>
            </w:pPr>
            <w:r>
              <w:rPr>
                <w:rFonts w:ascii="Times New Roman" w:hAnsi="Times New Roman" w:eastAsia="宋体" w:cs="Times New Roman"/>
                <w:color w:val="000000" w:themeColor="text1"/>
                <w:sz w:val="24"/>
                <w:lang w:val="en-US" w:bidi="ar-SA"/>
                <w14:textFill>
                  <w14:solidFill>
                    <w14:schemeClr w14:val="tx1"/>
                  </w14:solidFill>
                </w14:textFill>
              </w:rPr>
              <w:t>油烟净化器</w:t>
            </w:r>
          </w:p>
        </w:tc>
        <w:tc>
          <w:tcPr>
            <w:tcW w:w="2159" w:type="dxa"/>
            <w:vAlign w:val="center"/>
          </w:tcPr>
          <w:p>
            <w:pPr>
              <w:pStyle w:val="86"/>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《饮食业油烟排放标准（试行）》（GB18483-2001）中的小型标准。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897" w:type="dxa"/>
            <w:vAlign w:val="center"/>
          </w:tcPr>
          <w:p>
            <w:pPr>
              <w:adjustRightInd w:val="0"/>
              <w:snapToGrid w:val="0"/>
              <w:jc w:val="center"/>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w:t>
            </w:r>
          </w:p>
        </w:tc>
        <w:tc>
          <w:tcPr>
            <w:tcW w:w="1523" w:type="dxa"/>
            <w:vAlign w:val="center"/>
          </w:tcPr>
          <w:p>
            <w:pPr>
              <w:pStyle w:val="114"/>
              <w:spacing w:line="240" w:lineRule="exact"/>
              <w:rPr>
                <w:rFonts w:eastAsia="宋体"/>
                <w:color w:val="000000" w:themeColor="text1"/>
                <w:szCs w:val="24"/>
                <w14:textFill>
                  <w14:solidFill>
                    <w14:schemeClr w14:val="tx1"/>
                  </w14:solidFill>
                </w14:textFill>
              </w:rPr>
            </w:pPr>
            <w:r>
              <w:rPr>
                <w:rFonts w:hint="eastAsia" w:eastAsia="宋体"/>
                <w:color w:val="000000" w:themeColor="text1"/>
                <w:kern w:val="2"/>
                <w:szCs w:val="24"/>
                <w14:textFill>
                  <w14:solidFill>
                    <w14:schemeClr w14:val="tx1"/>
                  </w14:solidFill>
                </w14:textFill>
              </w:rPr>
              <w:t>/</w:t>
            </w:r>
          </w:p>
        </w:tc>
        <w:tc>
          <w:tcPr>
            <w:tcW w:w="1738" w:type="dxa"/>
            <w:vAlign w:val="center"/>
          </w:tcPr>
          <w:p>
            <w:pPr>
              <w:adjustRightInd w:val="0"/>
              <w:snapToGrid w:val="0"/>
              <w:jc w:val="center"/>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生产废水经消毒池杀菌处理流入化粪池，生活污水直接经化粪池预处理。达到唐江镇污水处理厂接管标准后，两股废水一道排入唐江镇污水处理厂。</w:t>
            </w:r>
          </w:p>
        </w:tc>
        <w:tc>
          <w:tcPr>
            <w:tcW w:w="2159" w:type="dxa"/>
            <w:vAlign w:val="center"/>
          </w:tcPr>
          <w:p>
            <w:pPr>
              <w:adjustRightInd w:val="0"/>
              <w:snapToGrid w:val="0"/>
              <w:jc w:val="center"/>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唐江镇污水处理厂接管标准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897" w:type="dxa"/>
            <w:vAlign w:val="center"/>
          </w:tcPr>
          <w:p>
            <w:pPr>
              <w:adjustRightInd w:val="0"/>
              <w:snapToGrid w:val="0"/>
              <w:jc w:val="center"/>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设备运行</w:t>
            </w:r>
          </w:p>
        </w:tc>
        <w:tc>
          <w:tcPr>
            <w:tcW w:w="1523" w:type="dxa"/>
            <w:vAlign w:val="center"/>
          </w:tcPr>
          <w:p>
            <w:pPr>
              <w:adjustRightInd w:val="0"/>
              <w:snapToGrid w:val="0"/>
              <w:jc w:val="center"/>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设备噪声</w:t>
            </w:r>
          </w:p>
        </w:tc>
        <w:tc>
          <w:tcPr>
            <w:tcW w:w="1738" w:type="dxa"/>
            <w:vAlign w:val="center"/>
          </w:tcPr>
          <w:p>
            <w:pPr>
              <w:adjustRightInd w:val="0"/>
              <w:snapToGrid w:val="0"/>
              <w:jc w:val="center"/>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合理布局，使用低噪声设备，采取隔声、</w:t>
            </w:r>
            <w:r>
              <w:rPr>
                <w:rFonts w:hint="eastAsia"/>
                <w:color w:val="000000" w:themeColor="text1"/>
                <w:kern w:val="21"/>
                <w:sz w:val="24"/>
                <w14:textFill>
                  <w14:solidFill>
                    <w14:schemeClr w14:val="tx1"/>
                  </w14:solidFill>
                </w14:textFill>
              </w:rPr>
              <w:t>减振</w:t>
            </w:r>
            <w:r>
              <w:rPr>
                <w:color w:val="000000" w:themeColor="text1"/>
                <w:kern w:val="21"/>
                <w:sz w:val="24"/>
                <w14:textFill>
                  <w14:solidFill>
                    <w14:schemeClr w14:val="tx1"/>
                  </w14:solidFill>
                </w14:textFill>
              </w:rPr>
              <w:t>、绿化等措施。</w:t>
            </w:r>
          </w:p>
        </w:tc>
        <w:tc>
          <w:tcPr>
            <w:tcW w:w="2159" w:type="dxa"/>
            <w:vAlign w:val="center"/>
          </w:tcPr>
          <w:p>
            <w:pPr>
              <w:adjustRightInd w:val="0"/>
              <w:snapToGrid w:val="0"/>
              <w:jc w:val="center"/>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189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52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73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5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483"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317" w:type="dxa"/>
            <w:gridSpan w:val="4"/>
            <w:vAlign w:val="center"/>
          </w:tcPr>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设置危废暂存仓库，占地面积10m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（有效容积5m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用于项目除尘灰渣、废活性炭等危废废物暂存，危废暂存间按《危险废物贮存污染控制标准》（GB18597-2001）及其2013年修改单的要求设计、建造和管理，采用封闭厂房防雨淋，地面用混凝土硬化，在硬化后的混凝土表面和墙裙涂覆环氧树脂等进行防腐、防渗，确保防渗层渗透系数小于10</w:t>
            </w:r>
            <w:r>
              <w:rPr>
                <w:rFonts w:hint="eastAsia"/>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cm/s；生活垃圾由环卫部门统一清运处理。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483"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w:t>
            </w:r>
          </w:p>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污染防治措施</w:t>
            </w:r>
          </w:p>
        </w:tc>
        <w:tc>
          <w:tcPr>
            <w:tcW w:w="7317" w:type="dxa"/>
            <w:gridSpan w:val="4"/>
            <w:vAlign w:val="center"/>
          </w:tcPr>
          <w:p>
            <w:pPr>
              <w:spacing w:line="360" w:lineRule="auto"/>
              <w:ind w:firstLine="480" w:firstLineChars="200"/>
              <w:jc w:val="left"/>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针对项目可能发生的土壤污染，按照</w:t>
            </w:r>
            <w:r>
              <w:rPr>
                <w:rFonts w:hint="eastAsia"/>
                <w:color w:val="000000" w:themeColor="text1"/>
                <w:kern w:val="21"/>
                <w:sz w:val="24"/>
                <w14:textFill>
                  <w14:solidFill>
                    <w14:schemeClr w14:val="tx1"/>
                  </w14:solidFill>
                </w14:textFill>
              </w:rPr>
              <w:t>“</w:t>
            </w:r>
            <w:r>
              <w:rPr>
                <w:color w:val="000000" w:themeColor="text1"/>
                <w:kern w:val="21"/>
                <w:sz w:val="24"/>
                <w14:textFill>
                  <w14:solidFill>
                    <w14:schemeClr w14:val="tx1"/>
                  </w14:solidFill>
                </w14:textFill>
              </w:rPr>
              <w:t>源头控制、末端防治、污染监控、应急响应</w:t>
            </w:r>
            <w:r>
              <w:rPr>
                <w:rFonts w:hint="eastAsia"/>
                <w:color w:val="000000" w:themeColor="text1"/>
                <w:kern w:val="21"/>
                <w:sz w:val="24"/>
                <w14:textFill>
                  <w14:solidFill>
                    <w14:schemeClr w14:val="tx1"/>
                  </w14:solidFill>
                </w14:textFill>
              </w:rPr>
              <w:t>”</w:t>
            </w:r>
            <w:r>
              <w:rPr>
                <w:color w:val="000000" w:themeColor="text1"/>
                <w:kern w:val="21"/>
                <w:sz w:val="24"/>
                <w14:textFill>
                  <w14:solidFill>
                    <w14:schemeClr w14:val="tx1"/>
                  </w14:solidFill>
                </w14:textFill>
              </w:rPr>
              <w:t>相结合的原则，从污染物的产生、入渗、扩散、应急响应全阶段进行控制；进行污染防治分区，按照要求进行分区防渗处理。</w:t>
            </w:r>
          </w:p>
          <w:p>
            <w:pPr>
              <w:pStyle w:val="83"/>
              <w:adjustRightInd/>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）分区防治措施</w:t>
            </w:r>
          </w:p>
          <w:p>
            <w:pPr>
              <w:pStyle w:val="83"/>
              <w:adjustRightInd/>
              <w:spacing w:line="360" w:lineRule="auto"/>
              <w:ind w:firstLine="480" w:firstLine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固体废物厂内均设置专门的贮存场所，厂区地面进行硬化处理，环评要求按照下表防渗标准分区设置防渗区，建立防渗设施的检漏系统，防止污染物的跑、冒、滴、漏，将污染物泄漏的环境风险事故降到最低限度。</w:t>
            </w:r>
          </w:p>
          <w:p>
            <w:pPr>
              <w:pStyle w:val="129"/>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（2）分区防渗措施</w:t>
            </w:r>
          </w:p>
          <w:p>
            <w:pPr>
              <w:pStyle w:val="2"/>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项目厂区内所有地面应参照《危险废物贮存污染控制标准》要求进行防渗设计，基础必须防渗，防渗区</w:t>
            </w:r>
            <w:r>
              <w:rPr>
                <w:snapToGrid w:val="0"/>
                <w:color w:val="000000" w:themeColor="text1"/>
                <w:szCs w:val="24"/>
                <w14:textFill>
                  <w14:solidFill>
                    <w14:schemeClr w14:val="tx1"/>
                  </w14:solidFill>
                </w14:textFill>
              </w:rPr>
              <w:t>的单位面积渗透量不大于厚度为≥1.5m，渗透系数≤10</w:t>
            </w:r>
            <w:r>
              <w:rPr>
                <w:snapToGrid w:val="0"/>
                <w:color w:val="000000" w:themeColor="text1"/>
                <w:szCs w:val="24"/>
                <w:vertAlign w:val="superscript"/>
                <w14:textFill>
                  <w14:solidFill>
                    <w14:schemeClr w14:val="tx1"/>
                  </w14:solidFill>
                </w14:textFill>
              </w:rPr>
              <w:t>-7</w:t>
            </w:r>
            <w:r>
              <w:rPr>
                <w:snapToGrid w:val="0"/>
                <w:color w:val="000000" w:themeColor="text1"/>
                <w:szCs w:val="24"/>
                <w14:textFill>
                  <w14:solidFill>
                    <w14:schemeClr w14:val="tx1"/>
                  </w14:solidFill>
                </w14:textFill>
              </w:rPr>
              <w:t>cm/s防渗层的渗透量；</w:t>
            </w:r>
            <w:r>
              <w:rPr>
                <w:color w:val="000000" w:themeColor="text1"/>
                <w:szCs w:val="24"/>
                <w14:textFill>
                  <w14:solidFill>
                    <w14:schemeClr w14:val="tx1"/>
                  </w14:solidFill>
                </w14:textFill>
              </w:rPr>
              <w:t>危废暂存间防渗参照</w:t>
            </w:r>
            <w:r>
              <w:rPr>
                <w:snapToGrid w:val="0"/>
                <w:color w:val="000000" w:themeColor="text1"/>
                <w:szCs w:val="24"/>
                <w14:textFill>
                  <w14:solidFill>
                    <w14:schemeClr w14:val="tx1"/>
                  </w14:solidFill>
                </w14:textFill>
              </w:rPr>
              <w:t>《危险废物填埋场污染控制标准》（GB18598-2001）2013年修改版防渗要求执行，地面进行水泥混凝土硬化加铺设环氧树脂涂料等人工防渗，</w:t>
            </w:r>
            <w:r>
              <w:rPr>
                <w:color w:val="000000" w:themeColor="text1"/>
                <w:szCs w:val="24"/>
                <w14:textFill>
                  <w14:solidFill>
                    <w14:schemeClr w14:val="tx1"/>
                  </w14:solidFill>
                </w14:textFill>
              </w:rPr>
              <w:t>防渗区</w:t>
            </w:r>
            <w:r>
              <w:rPr>
                <w:snapToGrid w:val="0"/>
                <w:color w:val="000000" w:themeColor="text1"/>
                <w:szCs w:val="24"/>
                <w14:textFill>
                  <w14:solidFill>
                    <w14:schemeClr w14:val="tx1"/>
                  </w14:solidFill>
                </w14:textFill>
              </w:rPr>
              <w:t>的单位面积渗透量不大于厚度为≥6m，饱和渗透系数≤10</w:t>
            </w:r>
            <w:r>
              <w:rPr>
                <w:snapToGrid w:val="0"/>
                <w:color w:val="000000" w:themeColor="text1"/>
                <w:szCs w:val="24"/>
                <w:vertAlign w:val="superscript"/>
                <w14:textFill>
                  <w14:solidFill>
                    <w14:schemeClr w14:val="tx1"/>
                  </w14:solidFill>
                </w14:textFill>
              </w:rPr>
              <w:t>-7</w:t>
            </w:r>
            <w:r>
              <w:rPr>
                <w:snapToGrid w:val="0"/>
                <w:color w:val="000000" w:themeColor="text1"/>
                <w:szCs w:val="24"/>
                <w14:textFill>
                  <w14:solidFill>
                    <w14:schemeClr w14:val="tx1"/>
                  </w14:solidFill>
                </w14:textFill>
              </w:rPr>
              <w:t>cm/s</w:t>
            </w:r>
            <w:r>
              <w:rPr>
                <w:rFonts w:hint="eastAsia"/>
                <w:snapToGrid w:val="0"/>
                <w:color w:val="000000" w:themeColor="text1"/>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483"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317" w:type="dxa"/>
            <w:gridSpan w:val="4"/>
            <w:vAlign w:val="center"/>
          </w:tcPr>
          <w:p>
            <w:pPr>
              <w:spacing w:line="360" w:lineRule="auto"/>
              <w:ind w:firstLine="480" w:firstLineChars="200"/>
              <w:jc w:val="left"/>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本项目所在地已经属于人工环境，不存在原生自然环境，且项目</w:t>
            </w:r>
            <w:r>
              <w:rPr>
                <w:rFonts w:hint="eastAsia"/>
                <w:color w:val="000000" w:themeColor="text1"/>
                <w:kern w:val="21"/>
                <w:sz w:val="24"/>
                <w14:textFill>
                  <w14:solidFill>
                    <w14:schemeClr w14:val="tx1"/>
                  </w14:solidFill>
                </w14:textFill>
              </w:rPr>
              <w:t>已采取绿化等生态恢复措施</w:t>
            </w:r>
            <w:r>
              <w:rPr>
                <w:color w:val="000000" w:themeColor="text1"/>
                <w:kern w:val="21"/>
                <w:sz w:val="24"/>
                <w14:textFill>
                  <w14:solidFill>
                    <w14:schemeClr w14:val="tx1"/>
                  </w14:solidFill>
                </w14:textFill>
              </w:rPr>
              <w:t>，对当地生态环境造成影响</w:t>
            </w:r>
            <w:r>
              <w:rPr>
                <w:rFonts w:hint="eastAsia"/>
                <w:color w:val="000000" w:themeColor="text1"/>
                <w:kern w:val="21"/>
                <w:sz w:val="24"/>
                <w14:textFill>
                  <w14:solidFill>
                    <w14:schemeClr w14:val="tx1"/>
                  </w14:solidFill>
                </w14:textFill>
              </w:rPr>
              <w:t>较小</w:t>
            </w:r>
            <w:r>
              <w:rPr>
                <w:color w:val="000000" w:themeColor="text1"/>
                <w:kern w:val="2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483"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w:t>
            </w:r>
          </w:p>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防范措施</w:t>
            </w:r>
          </w:p>
        </w:tc>
        <w:tc>
          <w:tcPr>
            <w:tcW w:w="7317" w:type="dxa"/>
            <w:gridSpan w:val="4"/>
            <w:vAlign w:val="center"/>
          </w:tcPr>
          <w:p>
            <w:pPr>
              <w:pStyle w:val="2"/>
              <w:spacing w:after="0" w:line="360" w:lineRule="auto"/>
              <w:ind w:left="0" w:leftChars="0" w:firstLine="480" w:firstLineChars="2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建设单位高度重视轻柴油贮存设施防火工作，按消防法规规定落实各项防火措施和制度， 确保不发生火险；加强废气治理设施的日常维修保养，发现问题及时上报维修，必要时停产检修， 确保废气达标排放。</w:t>
            </w:r>
          </w:p>
          <w:p>
            <w:pPr>
              <w:pStyle w:val="3"/>
              <w:pBdr>
                <w:bottom w:val="none" w:color="auto" w:sz="0" w:space="0"/>
              </w:pBdr>
              <w:snapToGrid/>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当发生火灾事故时，在火灾、爆炸的灭火过程中，消防喷水、泡沫喷淋等均会产生废水，水中通常混有物料，若直接经过市政雨水或污水管网进入纳污水体或市政污水处理厂，含高浓度的消防排水势必对水体造成不利的影响，进入污水厂则可能因冲击负荷过大，造成污水厂处理设施的停运，导致严重污染环境的后果，当发生液体泄漏时，如果处理不当，同样产生严重的后果。</w:t>
            </w:r>
          </w:p>
          <w:p>
            <w:pPr>
              <w:pStyle w:val="3"/>
              <w:pBdr>
                <w:bottom w:val="none" w:color="auto" w:sz="0" w:space="0"/>
              </w:pBdr>
              <w:snapToGrid/>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因此建设单位必须对以上可能产生的泄漏液体及消防废水设计合理的处置方案，根据消防、安监等相关部门的要求设置相应的事故应急水池，以接纳事故产生的废水，防止污染环境。</w:t>
            </w:r>
          </w:p>
          <w:p>
            <w:pPr>
              <w:pStyle w:val="3"/>
              <w:pBdr>
                <w:bottom w:val="none" w:color="auto" w:sz="0" w:space="0"/>
              </w:pBdr>
              <w:snapToGrid/>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（1）设立相关突发环境事故应急处理组织机构，人员的组成和职能从公司的现状出发，本着安全、统一、完善的原则，建立健全的公司突发环境事故应急组织机构。 </w:t>
            </w:r>
          </w:p>
          <w:p>
            <w:pPr>
              <w:pStyle w:val="3"/>
              <w:pBdr>
                <w:bottom w:val="none" w:color="auto" w:sz="0" w:space="0"/>
              </w:pBdr>
              <w:snapToGrid/>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事故发生后，及时转移、撤离或者疏散可能受到危害的人员，并进行妥善安置。建议建设单位在雨水管网的厂区出口处设置一个闸门，发生事故时及时关闭闸门，防止泄漏液体和消防废水流出厂区，将其可能产生的环境影响控制在厂区之内。 </w:t>
            </w:r>
          </w:p>
          <w:p>
            <w:pPr>
              <w:pStyle w:val="3"/>
              <w:pBdr>
                <w:bottom w:val="none" w:color="auto" w:sz="0" w:space="0"/>
              </w:pBdr>
              <w:snapToGrid/>
              <w:spacing w:line="360" w:lineRule="auto"/>
              <w:ind w:firstLine="480" w:firstLineChars="200"/>
              <w:jc w:val="left"/>
              <w:rPr>
                <w:rFonts w:eastAsiaTheme="minor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3）车间地面必须作水泥硬底化防渗处理，发生火灾时，事故废水不会通过地面渗入地下而污染地下水。</w:t>
            </w:r>
          </w:p>
          <w:p>
            <w:pPr>
              <w:pStyle w:val="4"/>
              <w:spacing w:before="0" w:beforeAutospacing="0" w:after="0" w:afterAutospacing="0" w:line="360" w:lineRule="auto"/>
              <w:ind w:firstLine="600" w:firstLineChars="200"/>
              <w:rPr>
                <w:rFonts w:eastAsiaTheme="minorEastAsia"/>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14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其他环境</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管理要求</w:t>
            </w:r>
          </w:p>
        </w:tc>
        <w:tc>
          <w:tcPr>
            <w:tcW w:w="7317" w:type="dxa"/>
            <w:gridSpan w:val="4"/>
            <w:vAlign w:val="center"/>
          </w:tcPr>
          <w:p>
            <w:pPr>
              <w:pStyle w:val="2"/>
              <w:spacing w:after="0"/>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w:t>
            </w:r>
          </w:p>
        </w:tc>
      </w:tr>
    </w:tbl>
    <w:p>
      <w:pPr>
        <w:pStyle w:val="24"/>
        <w:jc w:val="center"/>
        <w:outlineLvl w:val="0"/>
        <w:rPr>
          <w:rFonts w:ascii="Times New Roman" w:hAnsi="Times New Roman" w:eastAsia="黑体"/>
          <w:color w:val="000000" w:themeColor="text1"/>
          <w:sz w:val="30"/>
          <w:szCs w:val="30"/>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ascii="Times New Roman" w:hAnsi="Times New Roman" w:eastAsia="黑体"/>
          <w:color w:val="000000" w:themeColor="text1"/>
          <w:sz w:val="30"/>
          <w:szCs w:val="30"/>
          <w14:textFill>
            <w14:solidFill>
              <w14:schemeClr w14:val="tx1"/>
            </w14:solidFill>
          </w14:textFill>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符合国家产业政策，项目选址符合当地城镇及其他规划要求。项目所在区大气、水以及噪声环境质量现状良好；在优化的污染防治措施实施后，项目废水、废气和噪声可稳定达标排放，固废可得到妥善处置；拟建项目排放的各种污染物对环境的影响程度和范围均较小。因此，从环保角度考虑，在切实落实本报告中各项污染防治措施的前提下，拟建项目建设是可行的。</w:t>
            </w:r>
          </w:p>
        </w:tc>
      </w:tr>
    </w:tbl>
    <w:p>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p>
    <w:p>
      <w:pPr>
        <w:spacing w:line="360" w:lineRule="auto"/>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南康区</w:t>
      </w:r>
      <w:r>
        <w:rPr>
          <w:b/>
          <w:bCs/>
          <w:color w:val="000000" w:themeColor="text1"/>
          <w:sz w:val="44"/>
          <w:szCs w:val="44"/>
          <w14:textFill>
            <w14:solidFill>
              <w14:schemeClr w14:val="tx1"/>
            </w14:solidFill>
          </w14:textFill>
        </w:rPr>
        <w:t>殡仪馆建设项目</w:t>
      </w:r>
    </w:p>
    <w:p>
      <w:pPr>
        <w:pStyle w:val="83"/>
        <w:rPr>
          <w:rFonts w:ascii="Times New Roman" w:hAnsi="Times New Roman" w:cs="Times New Roman"/>
          <w:color w:val="000000" w:themeColor="text1"/>
          <w14:textFill>
            <w14:solidFill>
              <w14:schemeClr w14:val="tx1"/>
            </w14:solidFill>
          </w14:textFill>
        </w:rPr>
      </w:pPr>
    </w:p>
    <w:p>
      <w:pPr>
        <w:spacing w:line="360" w:lineRule="auto"/>
        <w:jc w:val="center"/>
        <w:outlineLvl w:val="0"/>
        <w:rPr>
          <w:b/>
          <w:bCs/>
          <w:color w:val="000000" w:themeColor="text1"/>
          <w:sz w:val="44"/>
          <w:szCs w:val="44"/>
          <w14:textFill>
            <w14:solidFill>
              <w14:schemeClr w14:val="tx1"/>
            </w14:solidFill>
          </w14:textFill>
        </w:rPr>
      </w:pPr>
      <w:r>
        <w:rPr>
          <w:b/>
          <w:bCs/>
          <w:color w:val="000000" w:themeColor="text1"/>
          <w:sz w:val="44"/>
          <w:szCs w:val="44"/>
          <w14:textFill>
            <w14:solidFill>
              <w14:schemeClr w14:val="tx1"/>
            </w14:solidFill>
          </w14:textFill>
        </w:rPr>
        <w:t>大气环境影响评价专项</w:t>
      </w:r>
      <w:r>
        <w:rPr>
          <w:rFonts w:hint="eastAsia"/>
          <w:b/>
          <w:bCs/>
          <w:color w:val="000000" w:themeColor="text1"/>
          <w:sz w:val="44"/>
          <w:szCs w:val="44"/>
          <w14:textFill>
            <w14:solidFill>
              <w14:schemeClr w14:val="tx1"/>
            </w14:solidFill>
          </w14:textFill>
        </w:rPr>
        <w:t>评价</w:t>
      </w: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bookmarkStart w:id="13" w:name="_GoBack"/>
      <w:bookmarkEnd w:id="13"/>
    </w:p>
    <w:p>
      <w:pPr>
        <w:pStyle w:val="83"/>
        <w:rPr>
          <w:rFonts w:ascii="Times New Roman" w:hAnsi="Times New Roman" w:cs="Times New Roman"/>
          <w:color w:val="000000" w:themeColor="text1"/>
          <w14:textFill>
            <w14:solidFill>
              <w14:schemeClr w14:val="tx1"/>
            </w14:solidFill>
          </w14:textFill>
        </w:rPr>
      </w:pPr>
    </w:p>
    <w:p>
      <w:pPr>
        <w:rPr>
          <w:color w:val="000000" w:themeColor="text1"/>
          <w14:textFill>
            <w14:solidFill>
              <w14:schemeClr w14:val="tx1"/>
            </w14:solidFill>
          </w14:textFill>
        </w:rPr>
      </w:pPr>
    </w:p>
    <w:p>
      <w:pPr>
        <w:pStyle w:val="83"/>
        <w:rPr>
          <w:rFonts w:ascii="Times New Roman" w:hAnsi="Times New Roman" w:cs="Times New Roman"/>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b/>
          <w:color w:val="000000" w:themeColor="text1"/>
          <w:sz w:val="32"/>
          <w14:textFill>
            <w14:solidFill>
              <w14:schemeClr w14:val="tx1"/>
            </w14:solidFill>
          </w14:textFill>
        </w:rPr>
      </w:pPr>
      <w:r>
        <w:rPr>
          <w:b/>
          <w:color w:val="000000" w:themeColor="text1"/>
          <w:sz w:val="36"/>
          <w:szCs w:val="36"/>
          <w14:textFill>
            <w14:solidFill>
              <w14:schemeClr w14:val="tx1"/>
            </w14:solidFill>
          </w14:textFill>
        </w:rPr>
        <w:t>编制日期：二O二</w:t>
      </w:r>
      <w:r>
        <w:rPr>
          <w:rFonts w:hint="eastAsia"/>
          <w:b/>
          <w:color w:val="000000" w:themeColor="text1"/>
          <w:sz w:val="36"/>
          <w:szCs w:val="36"/>
          <w14:textFill>
            <w14:solidFill>
              <w14:schemeClr w14:val="tx1"/>
            </w14:solidFill>
          </w14:textFill>
        </w:rPr>
        <w:t>二</w:t>
      </w:r>
      <w:r>
        <w:rPr>
          <w:b/>
          <w:color w:val="000000" w:themeColor="text1"/>
          <w:sz w:val="36"/>
          <w:szCs w:val="36"/>
          <w14:textFill>
            <w14:solidFill>
              <w14:schemeClr w14:val="tx1"/>
            </w14:solidFill>
          </w14:textFill>
        </w:rPr>
        <w:t>年</w:t>
      </w:r>
      <w:r>
        <w:rPr>
          <w:rFonts w:hint="eastAsia"/>
          <w:b/>
          <w:color w:val="000000" w:themeColor="text1"/>
          <w:sz w:val="36"/>
          <w:szCs w:val="36"/>
          <w14:textFill>
            <w14:solidFill>
              <w14:schemeClr w14:val="tx1"/>
            </w14:solidFill>
          </w14:textFill>
        </w:rPr>
        <w:t>二</w:t>
      </w:r>
      <w:r>
        <w:rPr>
          <w:b/>
          <w:color w:val="000000" w:themeColor="text1"/>
          <w:sz w:val="36"/>
          <w:szCs w:val="36"/>
          <w14:textFill>
            <w14:solidFill>
              <w14:schemeClr w14:val="tx1"/>
            </w14:solidFill>
          </w14:textFill>
        </w:rPr>
        <w:t>月</w:t>
      </w:r>
    </w:p>
    <w:p>
      <w:pPr>
        <w:spacing w:line="360" w:lineRule="auto"/>
        <w:jc w:val="center"/>
        <w:rPr>
          <w:color w:val="000000" w:themeColor="text1"/>
          <w:sz w:val="32"/>
          <w:szCs w:val="32"/>
          <w14:textFill>
            <w14:solidFill>
              <w14:schemeClr w14:val="tx1"/>
            </w14:solidFill>
          </w14:textFill>
        </w:rPr>
      </w:pPr>
    </w:p>
    <w:p>
      <w:pPr>
        <w:rPr>
          <w:color w:val="000000" w:themeColor="text1"/>
          <w:sz w:val="24"/>
          <w14:textFill>
            <w14:solidFill>
              <w14:schemeClr w14:val="tx1"/>
            </w14:solidFill>
          </w14:textFill>
        </w:rPr>
      </w:pPr>
    </w:p>
    <w:p>
      <w:pPr>
        <w:spacing w:line="360" w:lineRule="auto"/>
        <w:rPr>
          <w:b/>
          <w:bCs/>
          <w:color w:val="000000" w:themeColor="text1"/>
          <w:sz w:val="32"/>
          <w:szCs w:val="32"/>
          <w14:textFill>
            <w14:solidFill>
              <w14:schemeClr w14:val="tx1"/>
            </w14:solidFill>
          </w14:textFill>
        </w:rPr>
        <w:sectPr>
          <w:headerReference r:id="rId6" w:type="default"/>
          <w:footerReference r:id="rId7" w:type="default"/>
          <w:footerReference r:id="rId8" w:type="even"/>
          <w:pgSz w:w="11907" w:h="16840"/>
          <w:pgMar w:top="1418" w:right="1247" w:bottom="1247" w:left="1361" w:header="1134" w:footer="567" w:gutter="0"/>
          <w:cols w:space="720" w:num="1"/>
          <w:docGrid w:type="lines" w:linePitch="286" w:charSpace="80"/>
        </w:sectPr>
      </w:pPr>
    </w:p>
    <w:p>
      <w:pPr>
        <w:spacing w:before="286" w:beforeLines="100" w:after="286" w:afterLines="100" w:line="360" w:lineRule="auto"/>
        <w:jc w:val="center"/>
        <w:outlineLvl w:val="0"/>
        <w:rPr>
          <w:b/>
          <w:bCs/>
          <w:color w:val="000000" w:themeColor="text1"/>
          <w:sz w:val="36"/>
          <w14:textFill>
            <w14:solidFill>
              <w14:schemeClr w14:val="tx1"/>
            </w14:solidFill>
          </w14:textFill>
        </w:rPr>
      </w:pPr>
      <w:bookmarkStart w:id="8" w:name="_Toc451157539"/>
      <w:r>
        <w:rPr>
          <w:b/>
          <w:bCs/>
          <w:color w:val="000000" w:themeColor="text1"/>
          <w:sz w:val="36"/>
          <w14:textFill>
            <w14:solidFill>
              <w14:schemeClr w14:val="tx1"/>
            </w14:solidFill>
          </w14:textFill>
        </w:rPr>
        <w:t>1、</w:t>
      </w:r>
      <w:bookmarkEnd w:id="8"/>
      <w:r>
        <w:rPr>
          <w:rFonts w:hint="eastAsia"/>
          <w:b/>
          <w:bCs/>
          <w:color w:val="000000" w:themeColor="text1"/>
          <w:sz w:val="36"/>
          <w14:textFill>
            <w14:solidFill>
              <w14:schemeClr w14:val="tx1"/>
            </w14:solidFill>
          </w14:textFill>
        </w:rPr>
        <w:t>总则</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 编制依据</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（2）《中华人民共和国环境影响评价法》（2018年12月29日）；</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（3）《中华人民共和国大气污染防治法》（2018年10月26日）；</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（4）《中华人民共和国清洁生产促进法》（2012年7月1日修正）；</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（5）《建设项目环境保护管理条例》（国务院第682号令）；</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（6）《环境影响评价技术导则总纲》（HJ2.1-2016）；</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）《环境影响评价技术导则大气环境》（HJ2.2-2018）；</w:t>
      </w:r>
    </w:p>
    <w:p>
      <w:pPr>
        <w:pStyle w:val="91"/>
        <w:ind w:firstLine="480"/>
        <w:rPr>
          <w:bCs/>
          <w:color w:val="000000" w:themeColor="text1"/>
          <w14:textFill>
            <w14:solidFill>
              <w14:schemeClr w14:val="tx1"/>
            </w14:solidFill>
          </w14:textFill>
        </w:rPr>
      </w:pPr>
      <w:r>
        <w:rPr>
          <w:rFonts w:hint="eastAsia"/>
          <w:color w:val="000000" w:themeColor="text1"/>
          <w14:textFill>
            <w14:solidFill>
              <w14:schemeClr w14:val="tx1"/>
            </w14:solidFill>
          </w14:textFill>
        </w:rPr>
        <w:t>（8）《建设项目环境影响评价分类管理名录》（2021年版）</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 评价标准</w:t>
      </w:r>
    </w:p>
    <w:p>
      <w:pPr>
        <w:pStyle w:val="91"/>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（1）大气</w:t>
      </w:r>
      <w:r>
        <w:rPr>
          <w:bCs/>
          <w:color w:val="000000" w:themeColor="text1"/>
          <w14:textFill>
            <w14:solidFill>
              <w14:schemeClr w14:val="tx1"/>
            </w14:solidFill>
          </w14:textFill>
        </w:rPr>
        <w:t>环境质量标准</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执行《环境空气质量标准》（GB3095-2012）中的二级标准。《环境空气质量标准》（GB3095-2012）中未列的污染物执行《环境影响评价技术导则大气环境（HJ2.2-2018）》附录D表D.1其他污染物空气质量浓度参考限值。具体见表1-1</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1-1</w:t>
      </w:r>
      <w:r>
        <w:rPr>
          <w:b/>
          <w:color w:val="000000" w:themeColor="text1"/>
          <w14:textFill>
            <w14:solidFill>
              <w14:schemeClr w14:val="tx1"/>
            </w14:solidFill>
          </w14:textFill>
        </w:rPr>
        <w:t xml:space="preserve">  环境空气质量标准   （单位：mg/Nm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33"/>
        <w:gridCol w:w="1558"/>
        <w:gridCol w:w="1746"/>
        <w:gridCol w:w="388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Merge w:val="restar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污染物名称</w:t>
            </w:r>
          </w:p>
        </w:tc>
        <w:tc>
          <w:tcPr>
            <w:tcW w:w="1938" w:type="pct"/>
            <w:gridSpan w:val="2"/>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浓度限定标准值(mg/m</w:t>
            </w:r>
            <w:r>
              <w:rPr>
                <w:rFonts w:eastAsiaTheme="minorEastAsia"/>
                <w:b/>
                <w:color w:val="000000" w:themeColor="text1"/>
                <w:sz w:val="21"/>
                <w:szCs w:val="21"/>
                <w:vertAlign w:val="superscript"/>
                <w14:textFill>
                  <w14:solidFill>
                    <w14:schemeClr w14:val="tx1"/>
                  </w14:solidFill>
                </w14:textFill>
              </w:rPr>
              <w:t>3</w:t>
            </w:r>
            <w:r>
              <w:rPr>
                <w:rFonts w:eastAsiaTheme="minorEastAsia"/>
                <w:b/>
                <w:color w:val="000000" w:themeColor="text1"/>
                <w:sz w:val="21"/>
                <w:szCs w:val="21"/>
                <w14:textFill>
                  <w14:solidFill>
                    <w14:schemeClr w14:val="tx1"/>
                  </w14:solidFill>
                </w14:textFill>
              </w:rPr>
              <w:t>)</w:t>
            </w:r>
          </w:p>
        </w:tc>
        <w:tc>
          <w:tcPr>
            <w:tcW w:w="2280" w:type="pct"/>
            <w:vMerge w:val="restar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依据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Merge w:val="continue"/>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p>
        </w:tc>
        <w:tc>
          <w:tcPr>
            <w:tcW w:w="914"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1小时平均</w:t>
            </w:r>
          </w:p>
        </w:tc>
        <w:tc>
          <w:tcPr>
            <w:tcW w:w="1024"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24小时平均</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TSP</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0.3</w:t>
            </w:r>
          </w:p>
        </w:tc>
        <w:tc>
          <w:tcPr>
            <w:tcW w:w="2280" w:type="pct"/>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PM</w:t>
            </w:r>
            <w:r>
              <w:rPr>
                <w:rFonts w:eastAsiaTheme="minorEastAsia"/>
                <w:color w:val="000000" w:themeColor="text1"/>
                <w:sz w:val="21"/>
                <w:szCs w:val="21"/>
                <w:vertAlign w:val="subscript"/>
                <w14:textFill>
                  <w14:solidFill>
                    <w14:schemeClr w14:val="tx1"/>
                  </w14:solidFill>
                </w14:textFill>
              </w:rPr>
              <w:t>10</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0.15</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SO</w:t>
            </w:r>
            <w:r>
              <w:rPr>
                <w:rFonts w:eastAsiaTheme="minorEastAsia"/>
                <w:color w:val="000000" w:themeColor="text1"/>
                <w:sz w:val="21"/>
                <w:szCs w:val="21"/>
                <w:vertAlign w:val="subscript"/>
                <w14:textFill>
                  <w14:solidFill>
                    <w14:schemeClr w14:val="tx1"/>
                  </w14:solidFill>
                </w14:textFill>
              </w:rPr>
              <w:t>2</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0.50</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0.15</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NO</w:t>
            </w:r>
            <w:r>
              <w:rPr>
                <w:rFonts w:eastAsiaTheme="minorEastAsia"/>
                <w:color w:val="000000" w:themeColor="text1"/>
                <w:sz w:val="21"/>
                <w:szCs w:val="21"/>
                <w:vertAlign w:val="subscript"/>
                <w14:textFill>
                  <w14:solidFill>
                    <w14:schemeClr w14:val="tx1"/>
                  </w14:solidFill>
                </w14:textFill>
              </w:rPr>
              <w:t>2</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0.20</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0.08</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PM</w:t>
            </w:r>
            <w:r>
              <w:rPr>
                <w:rFonts w:eastAsiaTheme="minorEastAsia"/>
                <w:color w:val="000000" w:themeColor="text1"/>
                <w:sz w:val="21"/>
                <w:szCs w:val="21"/>
                <w:vertAlign w:val="subscript"/>
                <w14:textFill>
                  <w14:solidFill>
                    <w14:schemeClr w14:val="tx1"/>
                  </w14:solidFill>
                </w14:textFill>
              </w:rPr>
              <w:t>2.5</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0.075</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CO</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O</w:t>
            </w:r>
            <w:r>
              <w:rPr>
                <w:rFonts w:eastAsiaTheme="minorEastAsia"/>
                <w:color w:val="000000" w:themeColor="text1"/>
                <w:sz w:val="21"/>
                <w:szCs w:val="21"/>
                <w:vertAlign w:val="subscript"/>
                <w14:textFill>
                  <w14:solidFill>
                    <w14:schemeClr w14:val="tx1"/>
                  </w14:solidFill>
                </w14:textFill>
              </w:rPr>
              <w:t>3</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0.2</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0.16(8小时均值)</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TSP</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300</w:t>
            </w:r>
          </w:p>
        </w:tc>
        <w:tc>
          <w:tcPr>
            <w:tcW w:w="2280"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HCl</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0.05（一次）</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0.015</w:t>
            </w:r>
          </w:p>
        </w:tc>
        <w:tc>
          <w:tcPr>
            <w:tcW w:w="2280"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《环境影响评价技术导则  大气环境》（HJ2.2-2018）附录D中的浓度限值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二噁英</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0.6pgTEQ/m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（一次）</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2280"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参照执行日本大气环境质量标准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7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汞</w:t>
            </w:r>
          </w:p>
        </w:tc>
        <w:tc>
          <w:tcPr>
            <w:tcW w:w="91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0.0003（一次）</w:t>
            </w:r>
          </w:p>
        </w:tc>
        <w:tc>
          <w:tcPr>
            <w:tcW w:w="1024"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2280"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参照前苏联环境空气质量标准</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（2）大气</w:t>
      </w:r>
      <w:r>
        <w:rPr>
          <w:color w:val="000000" w:themeColor="text1"/>
          <w14:textFill>
            <w14:solidFill>
              <w14:schemeClr w14:val="tx1"/>
            </w14:solidFill>
          </w14:textFill>
        </w:rPr>
        <w:t>污染物排放标准</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项目营运期火化炉废气执行《火葬场大气污染物排放标准》（GB13801-2015）中表2规定的大气污染物排放限值；食堂油烟废气排放执行《饮食业油烟排放标准》（GB18483-2001）中的小型标准。</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具体各大气污染物排放标准见表</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1-2</w:t>
      </w:r>
      <w:r>
        <w:rPr>
          <w:b/>
          <w:color w:val="000000" w:themeColor="text1"/>
          <w14:textFill>
            <w14:solidFill>
              <w14:schemeClr w14:val="tx1"/>
            </w14:solidFill>
          </w14:textFill>
        </w:rPr>
        <w:t xml:space="preserve"> 遗体火化大气污染物排放限值  单位：mg/m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（二噁英类、烟气黑度除外）</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63"/>
        <w:gridCol w:w="4057"/>
        <w:gridCol w:w="26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序号</w:t>
            </w:r>
          </w:p>
        </w:tc>
        <w:tc>
          <w:tcPr>
            <w:tcW w:w="2442"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控制项目</w:t>
            </w:r>
          </w:p>
        </w:tc>
        <w:tc>
          <w:tcPr>
            <w:tcW w:w="1618"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烟尘</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二氧化硫</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氮氧化物（以NO</w:t>
            </w:r>
            <w:r>
              <w:rPr>
                <w:rFonts w:eastAsiaTheme="minorEastAsia"/>
                <w:color w:val="000000" w:themeColor="text1"/>
                <w:sz w:val="21"/>
                <w:szCs w:val="21"/>
                <w:vertAlign w:val="subscript"/>
                <w14:textFill>
                  <w14:solidFill>
                    <w14:schemeClr w14:val="tx1"/>
                  </w14:solidFill>
                </w14:textFill>
              </w:rPr>
              <w:t>2</w:t>
            </w:r>
            <w:r>
              <w:rPr>
                <w:rFonts w:eastAsiaTheme="minorEastAsia"/>
                <w:color w:val="000000" w:themeColor="text1"/>
                <w:sz w:val="21"/>
                <w:szCs w:val="21"/>
                <w14:textFill>
                  <w14:solidFill>
                    <w14:schemeClr w14:val="tx1"/>
                  </w14:solidFill>
                </w14:textFill>
              </w:rPr>
              <w:t>计）</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一氧化碳</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氯化氢</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汞</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二噁英类（ng-TEQ/m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1"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w:t>
            </w:r>
          </w:p>
        </w:tc>
        <w:tc>
          <w:tcPr>
            <w:tcW w:w="244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烟气黑度（林格曼黑度，级）</w:t>
            </w:r>
          </w:p>
        </w:tc>
        <w:tc>
          <w:tcPr>
            <w:tcW w:w="161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w:t>
            </w:r>
          </w:p>
        </w:tc>
      </w:tr>
    </w:tbl>
    <w:p>
      <w:pPr>
        <w:pStyle w:val="91"/>
        <w:spacing w:before="143" w:beforeLines="50"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1-3</w:t>
      </w:r>
      <w:r>
        <w:rPr>
          <w:b/>
          <w:color w:val="000000" w:themeColor="text1"/>
          <w14:textFill>
            <w14:solidFill>
              <w14:schemeClr w14:val="tx1"/>
            </w14:solidFill>
          </w14:textFill>
        </w:rPr>
        <w:t>饮食业油烟排放标准</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18"/>
        <w:gridCol w:w="1849"/>
        <w:gridCol w:w="1631"/>
        <w:gridCol w:w="10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饮食业单位规模</w:t>
            </w:r>
          </w:p>
        </w:tc>
        <w:tc>
          <w:tcPr>
            <w:tcW w:w="1113"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小型</w:t>
            </w:r>
          </w:p>
        </w:tc>
        <w:tc>
          <w:tcPr>
            <w:tcW w:w="982"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中型</w:t>
            </w:r>
          </w:p>
        </w:tc>
        <w:tc>
          <w:tcPr>
            <w:tcW w:w="607" w:type="pct"/>
            <w:vAlign w:val="center"/>
          </w:tcPr>
          <w:p>
            <w:pPr>
              <w:pStyle w:val="91"/>
              <w:adjustRightInd/>
              <w:snapToGrid/>
              <w:spacing w:line="240" w:lineRule="auto"/>
              <w:ind w:firstLine="0" w:firstLineChars="0"/>
              <w:contextualSpacing/>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大型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基准灶头数</w:t>
            </w:r>
          </w:p>
        </w:tc>
        <w:tc>
          <w:tcPr>
            <w:tcW w:w="1113"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≥1，＜3</w:t>
            </w:r>
          </w:p>
        </w:tc>
        <w:tc>
          <w:tcPr>
            <w:tcW w:w="9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≥3，＜6</w:t>
            </w:r>
          </w:p>
        </w:tc>
        <w:tc>
          <w:tcPr>
            <w:tcW w:w="607"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对应灶头总功率（10</w:t>
            </w:r>
            <w:r>
              <w:rPr>
                <w:rFonts w:eastAsiaTheme="minorEastAsia"/>
                <w:color w:val="000000" w:themeColor="text1"/>
                <w:sz w:val="21"/>
                <w:szCs w:val="21"/>
                <w:vertAlign w:val="superscript"/>
                <w14:textFill>
                  <w14:solidFill>
                    <w14:schemeClr w14:val="tx1"/>
                  </w14:solidFill>
                </w14:textFill>
              </w:rPr>
              <w:t>8</w:t>
            </w:r>
            <w:r>
              <w:rPr>
                <w:rFonts w:eastAsiaTheme="minorEastAsia"/>
                <w:color w:val="000000" w:themeColor="text1"/>
                <w:sz w:val="21"/>
                <w:szCs w:val="21"/>
                <w14:textFill>
                  <w14:solidFill>
                    <w14:schemeClr w14:val="tx1"/>
                  </w14:solidFill>
                </w14:textFill>
              </w:rPr>
              <w:t>J/h）</w:t>
            </w:r>
          </w:p>
        </w:tc>
        <w:tc>
          <w:tcPr>
            <w:tcW w:w="1113"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1.67，＜5.00</w:t>
            </w:r>
          </w:p>
        </w:tc>
        <w:tc>
          <w:tcPr>
            <w:tcW w:w="9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≥5.00，＜10</w:t>
            </w:r>
          </w:p>
        </w:tc>
        <w:tc>
          <w:tcPr>
            <w:tcW w:w="607"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对应排气罩灶面总投影面积（m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w:t>
            </w:r>
          </w:p>
        </w:tc>
        <w:tc>
          <w:tcPr>
            <w:tcW w:w="1113"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≥1.1，＜3.3</w:t>
            </w:r>
          </w:p>
        </w:tc>
        <w:tc>
          <w:tcPr>
            <w:tcW w:w="9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≥3.3，＜6.6</w:t>
            </w:r>
          </w:p>
        </w:tc>
        <w:tc>
          <w:tcPr>
            <w:tcW w:w="607"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油烟最高允许排放浓度</w:t>
            </w:r>
          </w:p>
        </w:tc>
        <w:tc>
          <w:tcPr>
            <w:tcW w:w="2702" w:type="pct"/>
            <w:gridSpan w:val="3"/>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298"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净化设施最低去除率％</w:t>
            </w:r>
          </w:p>
        </w:tc>
        <w:tc>
          <w:tcPr>
            <w:tcW w:w="1113"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60</w:t>
            </w:r>
          </w:p>
        </w:tc>
        <w:tc>
          <w:tcPr>
            <w:tcW w:w="982"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75</w:t>
            </w:r>
          </w:p>
        </w:tc>
        <w:tc>
          <w:tcPr>
            <w:tcW w:w="607" w:type="pc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85</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 评价因子</w:t>
      </w:r>
    </w:p>
    <w:p>
      <w:pPr>
        <w:pStyle w:val="91"/>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本次评价因子：</w:t>
      </w:r>
      <w:r>
        <w:rPr>
          <w:color w:val="000000" w:themeColor="text1"/>
          <w:kern w:val="0"/>
          <w14:textFill>
            <w14:solidFill>
              <w14:schemeClr w14:val="tx1"/>
            </w14:solidFill>
          </w14:textFill>
        </w:rPr>
        <w:t>PM</w:t>
      </w:r>
      <w:r>
        <w:rPr>
          <w:color w:val="000000" w:themeColor="text1"/>
          <w:kern w:val="0"/>
          <w:vertAlign w:val="subscript"/>
          <w14:textFill>
            <w14:solidFill>
              <w14:schemeClr w14:val="tx1"/>
            </w14:solidFill>
          </w14:textFill>
        </w:rPr>
        <w:t>10</w:t>
      </w:r>
      <w:r>
        <w:rPr>
          <w:rFonts w:hint="eastAsia"/>
          <w:color w:val="000000" w:themeColor="text1"/>
          <w:kern w:val="0"/>
          <w14:textFill>
            <w14:solidFill>
              <w14:schemeClr w14:val="tx1"/>
            </w14:solidFill>
          </w14:textFill>
        </w:rPr>
        <w:t>、NOx、SO</w:t>
      </w:r>
      <w:r>
        <w:rPr>
          <w:rFonts w:hint="eastAsia"/>
          <w:color w:val="000000" w:themeColor="text1"/>
          <w:kern w:val="0"/>
          <w:vertAlign w:val="subscript"/>
          <w14:textFill>
            <w14:solidFill>
              <w14:schemeClr w14:val="tx1"/>
            </w14:solidFill>
          </w14:textFill>
        </w:rPr>
        <w:t>2</w:t>
      </w:r>
      <w:r>
        <w:rPr>
          <w:rFonts w:hint="eastAsia"/>
          <w:color w:val="000000" w:themeColor="text1"/>
          <w:kern w:val="0"/>
          <w14:textFill>
            <w14:solidFill>
              <w14:schemeClr w14:val="tx1"/>
            </w14:solidFill>
          </w14:textFill>
        </w:rPr>
        <w:t>、CO、HCl、二噁英、汞。</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 评价等级及评价范围</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（1）评价等级</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大气环境》（HJ2.2-2018），环境空气评价工作等级应选择1～3种主要污染物，分别计算每一种污染物的最大地面浓度占标率P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（第i个污染物），及第i个污染物的地面浓度达标准限值10%时所对应的最远距离D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，其中P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的定义为：</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33.75pt;width:78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式中  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——第i个污染物最大地面浓度占标率，%；</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——采用估算模式计算出的第i个污染物的最大地面浓度，mg/m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——第i个污染物的环境空气质量标准，mg/m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大气环境》(HJ2.2-2018)，将大气环境评价工作等级划分情况列于表</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1-4</w:t>
      </w:r>
      <w:r>
        <w:rPr>
          <w:b/>
          <w:bCs/>
          <w:color w:val="000000" w:themeColor="text1"/>
          <w:szCs w:val="21"/>
          <w14:textFill>
            <w14:solidFill>
              <w14:schemeClr w14:val="tx1"/>
            </w14:solidFill>
          </w14:textFill>
        </w:rPr>
        <w:t xml:space="preserve">  评价工作等级分级表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756"/>
        <w:gridCol w:w="45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61" w:type="pct"/>
            <w:vAlign w:val="center"/>
          </w:tcPr>
          <w:p>
            <w:pPr>
              <w:pStyle w:val="91"/>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评价工作等级</w:t>
            </w:r>
          </w:p>
        </w:tc>
        <w:tc>
          <w:tcPr>
            <w:tcW w:w="2739" w:type="pct"/>
            <w:vAlign w:val="center"/>
          </w:tcPr>
          <w:p>
            <w:pPr>
              <w:pStyle w:val="91"/>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评价工作分级依据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61"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w:t>
            </w:r>
          </w:p>
        </w:tc>
        <w:tc>
          <w:tcPr>
            <w:tcW w:w="2739"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61"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c>
          <w:tcPr>
            <w:tcW w:w="2739"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1%&lt;P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&lt;10%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61"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三级</w:t>
            </w:r>
          </w:p>
        </w:tc>
        <w:tc>
          <w:tcPr>
            <w:tcW w:w="2739" w:type="pct"/>
            <w:vAlign w:val="center"/>
          </w:tcPr>
          <w:p>
            <w:pPr>
              <w:pStyle w:val="91"/>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≤1%</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本项目污染源预测结果</w:t>
      </w:r>
      <w:r>
        <w:rPr>
          <w:rFonts w:hint="eastAsia"/>
          <w:color w:val="000000" w:themeColor="text1"/>
          <w14:textFill>
            <w14:solidFill>
              <w14:schemeClr w14:val="tx1"/>
            </w14:solidFill>
          </w14:textFill>
        </w:rPr>
        <w:t>见表1-5。</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1-5</w:t>
      </w:r>
      <w:r>
        <w:rPr>
          <w:b/>
          <w:bCs/>
          <w:color w:val="000000" w:themeColor="text1"/>
          <w:szCs w:val="21"/>
          <w14:textFill>
            <w14:solidFill>
              <w14:schemeClr w14:val="tx1"/>
            </w14:solidFill>
          </w14:textFill>
        </w:rPr>
        <w:t xml:space="preserve"> 预测结果一览表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69"/>
        <w:gridCol w:w="1110"/>
        <w:gridCol w:w="1341"/>
        <w:gridCol w:w="1607"/>
        <w:gridCol w:w="1341"/>
        <w:gridCol w:w="13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668"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评价因子</w:t>
            </w:r>
          </w:p>
        </w:tc>
        <w:tc>
          <w:tcPr>
            <w:tcW w:w="80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评价标准(mg/m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6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80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P</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w:t>
            </w:r>
          </w:p>
        </w:tc>
        <w:tc>
          <w:tcPr>
            <w:tcW w:w="806"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（点源）</w:t>
            </w: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3.59E-02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3.98</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1.61E-03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0.00E+00</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1.39</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二噁英</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0.6pgTEQ/m</w:t>
            </w:r>
            <w:r>
              <w:rPr>
                <w:color w:val="000000" w:themeColor="text1"/>
                <w:sz w:val="21"/>
                <w:szCs w:val="21"/>
                <w:vertAlign w:val="superscript"/>
                <w14:textFill>
                  <w14:solidFill>
                    <w14:schemeClr w14:val="tx1"/>
                  </w14:solidFill>
                </w14:textFill>
              </w:rPr>
              <w:t>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426</w:t>
            </w:r>
            <w:r>
              <w:rPr>
                <w:color w:val="000000" w:themeColor="text1"/>
                <w:sz w:val="21"/>
                <w:szCs w:val="21"/>
                <w14:textFill>
                  <w14:solidFill>
                    <w14:schemeClr w14:val="tx1"/>
                  </w14:solidFill>
                </w14:textFill>
              </w:rPr>
              <w:t>pgTEQ/m</w:t>
            </w:r>
            <w:r>
              <w:rPr>
                <w:color w:val="000000" w:themeColor="text1"/>
                <w:sz w:val="21"/>
                <w:szCs w:val="21"/>
                <w:vertAlign w:val="superscript"/>
                <w14:textFill>
                  <w14:solidFill>
                    <w14:schemeClr w14:val="tx1"/>
                  </w14:solidFill>
                </w14:textFill>
              </w:rPr>
              <w:t>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7.2</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7.50E-07</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0.25</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排气筒</w:t>
            </w:r>
          </w:p>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（点源）</w:t>
            </w: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3.59E-02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3.98</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1.61E-03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0.00E+00</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1.39</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二噁英</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0.6pgTEQ/m</w:t>
            </w:r>
            <w:r>
              <w:rPr>
                <w:color w:val="000000" w:themeColor="text1"/>
                <w:sz w:val="21"/>
                <w:szCs w:val="21"/>
                <w:vertAlign w:val="superscript"/>
                <w14:textFill>
                  <w14:solidFill>
                    <w14:schemeClr w14:val="tx1"/>
                  </w14:solidFill>
                </w14:textFill>
              </w:rPr>
              <w:t>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426</w:t>
            </w:r>
            <w:r>
              <w:rPr>
                <w:color w:val="000000" w:themeColor="text1"/>
                <w:sz w:val="21"/>
                <w:szCs w:val="21"/>
                <w14:textFill>
                  <w14:solidFill>
                    <w14:schemeClr w14:val="tx1"/>
                  </w14:solidFill>
                </w14:textFill>
              </w:rPr>
              <w:t>pgTEQ/m</w:t>
            </w:r>
            <w:r>
              <w:rPr>
                <w:color w:val="000000" w:themeColor="text1"/>
                <w:sz w:val="21"/>
                <w:szCs w:val="21"/>
                <w:vertAlign w:val="superscript"/>
                <w14:textFill>
                  <w14:solidFill>
                    <w14:schemeClr w14:val="tx1"/>
                  </w14:solidFill>
                </w14:textFill>
              </w:rPr>
              <w:t>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7.2</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7.50E-07</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0.25</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由预测结果可知，正常工况下：</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本项目有组织废气中烟尘最大落地浓度值3.59E-02mg/m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3.98</w:t>
      </w:r>
      <w:r>
        <w:rPr>
          <w:color w:val="000000" w:themeColor="text1"/>
          <w14:textFill>
            <w14:solidFill>
              <w14:schemeClr w14:val="tx1"/>
            </w14:solidFill>
          </w14:textFill>
        </w:rPr>
        <w:t>%，NOx最大落地浓度值1.61E-03mg/m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0.17</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最大落地浓度值8.56E-04mg/m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，占标率0.</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%，以上三类污染物均低于</w:t>
      </w:r>
      <w:r>
        <w:rPr>
          <w:rFonts w:hint="eastAsia"/>
          <w:color w:val="000000" w:themeColor="text1"/>
          <w14:textFill>
            <w14:solidFill>
              <w14:schemeClr w14:val="tx1"/>
            </w14:solidFill>
          </w14:textFill>
        </w:rPr>
        <w:t>《环境空气质量标准》（GB3095-2012）中的二级标准限值。</w:t>
      </w:r>
      <w:r>
        <w:rPr>
          <w:color w:val="000000" w:themeColor="text1"/>
          <w14:textFill>
            <w14:solidFill>
              <w14:schemeClr w14:val="tx1"/>
            </w14:solidFill>
          </w14:textFill>
        </w:rPr>
        <w:t>HCl最大落地浓度值6.96E-04mg/m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，占标率1.</w:t>
      </w:r>
      <w:r>
        <w:rPr>
          <w:rFonts w:hint="eastAsia"/>
          <w:color w:val="000000" w:themeColor="text1"/>
          <w14:textFill>
            <w14:solidFill>
              <w14:schemeClr w14:val="tx1"/>
            </w14:solidFill>
          </w14:textFill>
        </w:rPr>
        <w:t>39</w:t>
      </w:r>
      <w:r>
        <w:rPr>
          <w:color w:val="000000" w:themeColor="text1"/>
          <w14:textFill>
            <w14:solidFill>
              <w14:schemeClr w14:val="tx1"/>
            </w14:solidFill>
          </w14:textFill>
        </w:rPr>
        <w:t>%，CO最大落地浓度值0.00E+00mg/m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0.00</w:t>
      </w:r>
      <w:r>
        <w:rPr>
          <w:color w:val="000000" w:themeColor="text1"/>
          <w14:textFill>
            <w14:solidFill>
              <w14:schemeClr w14:val="tx1"/>
            </w14:solidFill>
          </w14:textFill>
        </w:rPr>
        <w:t>%，低于</w:t>
      </w:r>
      <w:r>
        <w:rPr>
          <w:rFonts w:hint="eastAsia"/>
          <w:color w:val="000000" w:themeColor="text1"/>
          <w14:textFill>
            <w14:solidFill>
              <w14:schemeClr w14:val="tx1"/>
            </w14:solidFill>
          </w14:textFill>
        </w:rPr>
        <w:t>《环境影响评价技术导则  大气环境》（HJ2.2-2018）附录D中的浓度限值；二噁英最大落地浓度0.0426pgTEQ/m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7.2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；汞最大落地浓度</w:t>
      </w:r>
      <w:r>
        <w:rPr>
          <w:color w:val="000000" w:themeColor="text1"/>
          <w14:textFill>
            <w14:solidFill>
              <w14:schemeClr w14:val="tx1"/>
            </w14:solidFill>
          </w14:textFill>
        </w:rPr>
        <w:t>7.50E-07mg/m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0.25</w:t>
      </w:r>
      <w:r>
        <w:rPr>
          <w:color w:val="000000" w:themeColor="text1"/>
          <w14:textFill>
            <w14:solidFill>
              <w14:schemeClr w14:val="tx1"/>
            </w14:solidFill>
          </w14:textFill>
        </w:rPr>
        <w:t>%。</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大气环境》(HJ2.2-2018)分级判据，确定本项目大气环境影响评价工作等级为二级。</w:t>
      </w:r>
    </w:p>
    <w:p>
      <w:pPr>
        <w:pStyle w:val="91"/>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（2）评价范围</w:t>
      </w:r>
    </w:p>
    <w:p>
      <w:pPr>
        <w:pStyle w:val="91"/>
        <w:ind w:firstLine="480"/>
        <w:rPr>
          <w:color w:val="000000" w:themeColor="text1"/>
          <w14:textFill>
            <w14:solidFill>
              <w14:schemeClr w14:val="tx1"/>
            </w14:solidFill>
          </w14:textFill>
        </w:rPr>
        <w:sectPr>
          <w:headerReference r:id="rId9" w:type="default"/>
          <w:footerReference r:id="rId10" w:type="default"/>
          <w:pgSz w:w="11907" w:h="16840"/>
          <w:pgMar w:top="1440" w:right="1800" w:bottom="1440" w:left="1800" w:header="1134" w:footer="567" w:gutter="0"/>
          <w:cols w:space="720" w:num="1"/>
          <w:docGrid w:type="lines" w:linePitch="286" w:charSpace="80"/>
        </w:sectPr>
      </w:pPr>
      <w:r>
        <w:rPr>
          <w:color w:val="000000" w:themeColor="text1"/>
          <w14:textFill>
            <w14:solidFill>
              <w14:schemeClr w14:val="tx1"/>
            </w14:solidFill>
          </w14:textFill>
        </w:rPr>
        <w:t>本项目大气环境影响评价等级为二级，根据《环境影响评价技术导则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大气环境》（HJ2.2—2018）中环境空气影响评价范围的确定内容，二级评价项目大气环境影响评价范围边长取5km，因此确定环境空气评价范围以厂址为中心区域，自厂界外延边长为5km的矩形区域。</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 环境保护目标</w:t>
      </w:r>
    </w:p>
    <w:p>
      <w:pPr>
        <w:pStyle w:val="91"/>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项目5km范围内环境保护目标见表1-6。</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1-6</w:t>
      </w:r>
      <w:r>
        <w:rPr>
          <w:b/>
          <w:bCs/>
          <w:color w:val="000000" w:themeColor="text1"/>
          <w:szCs w:val="21"/>
          <w14:textFill>
            <w14:solidFill>
              <w14:schemeClr w14:val="tx1"/>
            </w14:solidFill>
          </w14:textFill>
        </w:rPr>
        <w:t xml:space="preserve"> 主要大气环境保护目标</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868"/>
        <w:gridCol w:w="789"/>
        <w:gridCol w:w="1350"/>
        <w:gridCol w:w="1144"/>
        <w:gridCol w:w="1007"/>
        <w:gridCol w:w="965"/>
        <w:gridCol w:w="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972" w:type="pct"/>
            <w:gridSpan w:val="2"/>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坐标/m</w:t>
            </w:r>
          </w:p>
        </w:tc>
        <w:tc>
          <w:tcPr>
            <w:tcW w:w="792"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保护对象</w:t>
            </w:r>
          </w:p>
        </w:tc>
        <w:tc>
          <w:tcPr>
            <w:tcW w:w="671"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保护内容</w:t>
            </w:r>
          </w:p>
        </w:tc>
        <w:tc>
          <w:tcPr>
            <w:tcW w:w="591"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环境功能区</w:t>
            </w:r>
          </w:p>
        </w:tc>
        <w:tc>
          <w:tcPr>
            <w:tcW w:w="566"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kern w:val="0"/>
                <w14:textFill>
                  <w14:solidFill>
                    <w14:schemeClr w14:val="tx1"/>
                  </w14:solidFill>
                </w14:textFill>
              </w:rPr>
              <w:t>相对厂址方位</w:t>
            </w:r>
          </w:p>
        </w:tc>
        <w:tc>
          <w:tcPr>
            <w:tcW w:w="563" w:type="pct"/>
            <w:vMerge w:val="restar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Merge w:val="continue"/>
            <w:vAlign w:val="center"/>
          </w:tcPr>
          <w:p>
            <w:pPr>
              <w:adjustRightInd w:val="0"/>
              <w:jc w:val="center"/>
              <w:textAlignment w:val="baseline"/>
              <w:rPr>
                <w:color w:val="000000" w:themeColor="text1"/>
                <w14:textFill>
                  <w14:solidFill>
                    <w14:schemeClr w14:val="tx1"/>
                  </w14:solidFill>
                </w14:textFill>
              </w:rPr>
            </w:pPr>
          </w:p>
        </w:tc>
        <w:tc>
          <w:tcPr>
            <w:tcW w:w="509" w:type="pc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463" w:type="pct"/>
            <w:vAlign w:val="center"/>
          </w:tcPr>
          <w:p>
            <w:pPr>
              <w:adjustRightIn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792" w:type="pct"/>
            <w:vMerge w:val="continue"/>
            <w:vAlign w:val="center"/>
          </w:tcPr>
          <w:p>
            <w:pPr>
              <w:adjustRightInd w:val="0"/>
              <w:jc w:val="center"/>
              <w:textAlignment w:val="baseline"/>
              <w:rPr>
                <w:color w:val="000000" w:themeColor="text1"/>
                <w14:textFill>
                  <w14:solidFill>
                    <w14:schemeClr w14:val="tx1"/>
                  </w14:solidFill>
                </w14:textFill>
              </w:rPr>
            </w:pPr>
          </w:p>
        </w:tc>
        <w:tc>
          <w:tcPr>
            <w:tcW w:w="671" w:type="pct"/>
            <w:vMerge w:val="continue"/>
            <w:vAlign w:val="center"/>
          </w:tcPr>
          <w:p>
            <w:pPr>
              <w:adjustRightInd w:val="0"/>
              <w:jc w:val="center"/>
              <w:textAlignment w:val="baseline"/>
              <w:rPr>
                <w:color w:val="000000" w:themeColor="text1"/>
                <w14:textFill>
                  <w14:solidFill>
                    <w14:schemeClr w14:val="tx1"/>
                  </w14:solidFill>
                </w14:textFill>
              </w:rPr>
            </w:pP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Merge w:val="continue"/>
            <w:vAlign w:val="center"/>
          </w:tcPr>
          <w:p>
            <w:pPr>
              <w:adjustRightInd w:val="0"/>
              <w:jc w:val="center"/>
              <w:textAlignment w:val="baseline"/>
              <w:rPr>
                <w:color w:val="000000" w:themeColor="text1"/>
                <w14:textFill>
                  <w14:solidFill>
                    <w14:schemeClr w14:val="tx1"/>
                  </w14:solidFill>
                </w14:textFill>
              </w:rPr>
            </w:pPr>
          </w:p>
        </w:tc>
        <w:tc>
          <w:tcPr>
            <w:tcW w:w="563" w:type="pct"/>
            <w:vMerge w:val="continue"/>
            <w:vAlign w:val="center"/>
          </w:tcPr>
          <w:p>
            <w:pPr>
              <w:adjustRightInd w:val="0"/>
              <w:jc w:val="center"/>
              <w:textAlignment w:val="baseline"/>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下岭孜</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restar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二类区</w:t>
            </w: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大岭背</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罗屋排</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-951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石壁下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大石陂</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黄竹坑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-475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485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星光村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-875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476</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岭孜上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-1067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822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沙角坝</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-1701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一糖厂社区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-445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1352</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桥头坑</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-1983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2067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巷</w:t>
            </w:r>
            <w:r>
              <w:rPr>
                <w:rFonts w:hint="eastAsia"/>
                <w:color w:val="000000" w:themeColor="text1"/>
                <w14:textFill>
                  <w14:solidFill>
                    <w14:schemeClr w14:val="tx1"/>
                  </w14:solidFill>
                </w14:textFill>
              </w:rPr>
              <w:t>孜</w:t>
            </w:r>
            <w:r>
              <w:rPr>
                <w:color w:val="000000" w:themeColor="text1"/>
                <w14:textFill>
                  <w14:solidFill>
                    <w14:schemeClr w14:val="tx1"/>
                  </w14:solidFill>
                </w14:textFill>
              </w:rPr>
              <w:t>背</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-791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2021</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庄稼村</w:t>
            </w:r>
          </w:p>
        </w:tc>
        <w:tc>
          <w:tcPr>
            <w:tcW w:w="509"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大岭片</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450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1328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唐江路社区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542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2204</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3900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九驳桥社区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994</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1750</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卢尾村社区</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1732</w:t>
            </w:r>
          </w:p>
        </w:tc>
        <w:tc>
          <w:tcPr>
            <w:tcW w:w="792"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城市居民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岭棚下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1371</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村尾村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1613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马岗背</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1062</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465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黄泥岗</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689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寨上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1037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cr/>
            </w:r>
            <w:r>
              <w:rPr>
                <w:rFonts w:hint="eastAsia"/>
                <w:color w:val="000000" w:themeColor="text1"/>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大岭脑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196</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山塘里</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248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350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大坪孜</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1260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万罗坑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796</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-1499</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窝上</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1131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-1657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太窝村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928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-1860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240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划形塘</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235</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-1667</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东南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对门排</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大塘尾</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-299</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-2138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焦田坑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-521</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-665</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770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马岭头</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-1028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-1290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树子下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-1587</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-1352</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古寨下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-1888</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-1629</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280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西坑村</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-1733</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-1330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温屋</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-1474</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-528</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1627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峨眉岭</w:t>
            </w:r>
          </w:p>
        </w:tc>
        <w:tc>
          <w:tcPr>
            <w:tcW w:w="509"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-890</w:t>
            </w:r>
          </w:p>
        </w:tc>
        <w:tc>
          <w:tcPr>
            <w:tcW w:w="463" w:type="pct"/>
            <w:vAlign w:val="center"/>
          </w:tcPr>
          <w:p>
            <w:pPr>
              <w:adjustRightIn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-290</w:t>
            </w:r>
          </w:p>
        </w:tc>
        <w:tc>
          <w:tcPr>
            <w:tcW w:w="792" w:type="pct"/>
            <w:vAlign w:val="center"/>
          </w:tcPr>
          <w:p>
            <w:pPr>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村庄村民</w:t>
            </w:r>
          </w:p>
        </w:tc>
        <w:tc>
          <w:tcPr>
            <w:tcW w:w="671"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460</w:t>
            </w:r>
            <w:r>
              <w:rPr>
                <w:color w:val="000000" w:themeColor="text1"/>
                <w14:textFill>
                  <w14:solidFill>
                    <w14:schemeClr w14:val="tx1"/>
                  </w14:solidFill>
                </w14:textFill>
              </w:rPr>
              <w:t>人</w:t>
            </w:r>
          </w:p>
        </w:tc>
        <w:tc>
          <w:tcPr>
            <w:tcW w:w="591" w:type="pct"/>
            <w:vMerge w:val="continue"/>
            <w:vAlign w:val="center"/>
          </w:tcPr>
          <w:p>
            <w:pPr>
              <w:adjustRightInd w:val="0"/>
              <w:jc w:val="center"/>
              <w:textAlignment w:val="baseline"/>
              <w:rPr>
                <w:color w:val="000000" w:themeColor="text1"/>
                <w14:textFill>
                  <w14:solidFill>
                    <w14:schemeClr w14:val="tx1"/>
                  </w14:solidFill>
                </w14:textFill>
              </w:rPr>
            </w:pPr>
          </w:p>
        </w:tc>
        <w:tc>
          <w:tcPr>
            <w:tcW w:w="566" w:type="pct"/>
            <w:vAlign w:val="center"/>
          </w:tcPr>
          <w:p>
            <w:pPr>
              <w:adjustRightInd w:val="0"/>
              <w:snapToGri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西南</w:t>
            </w:r>
          </w:p>
        </w:tc>
        <w:tc>
          <w:tcPr>
            <w:tcW w:w="563" w:type="pct"/>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889</w:t>
            </w:r>
          </w:p>
        </w:tc>
      </w:tr>
    </w:tbl>
    <w:p>
      <w:pPr>
        <w:pStyle w:val="91"/>
        <w:ind w:firstLine="480"/>
        <w:rPr>
          <w:color w:val="000000" w:themeColor="text1"/>
          <w:kern w:val="0"/>
          <w14:textFill>
            <w14:solidFill>
              <w14:schemeClr w14:val="tx1"/>
            </w14:solidFill>
          </w14:textFill>
        </w:rPr>
      </w:pPr>
    </w:p>
    <w:p>
      <w:pPr>
        <w:pStyle w:val="91"/>
        <w:ind w:firstLine="480"/>
        <w:rPr>
          <w:color w:val="000000" w:themeColor="text1"/>
          <w:kern w:val="0"/>
          <w14:textFill>
            <w14:solidFill>
              <w14:schemeClr w14:val="tx1"/>
            </w14:solidFill>
          </w14:textFill>
        </w:rPr>
        <w:sectPr>
          <w:pgSz w:w="11907" w:h="16840"/>
          <w:pgMar w:top="1440" w:right="1800" w:bottom="1440" w:left="1800" w:header="1134" w:footer="567" w:gutter="0"/>
          <w:cols w:space="720" w:num="1"/>
          <w:docGrid w:type="lines" w:linePitch="286" w:charSpace="80"/>
        </w:sectPr>
      </w:pPr>
    </w:p>
    <w:p>
      <w:pPr>
        <w:pStyle w:val="6"/>
        <w:jc w:val="center"/>
        <w:rPr>
          <w:rFonts w:eastAsiaTheme="minorEastAsia"/>
          <w:color w:val="000000" w:themeColor="text1"/>
          <w:sz w:val="36"/>
          <w:szCs w:val="36"/>
          <w14:textFill>
            <w14:solidFill>
              <w14:schemeClr w14:val="tx1"/>
            </w14:solidFill>
          </w14:textFill>
        </w:rPr>
      </w:pPr>
      <w:bookmarkStart w:id="9" w:name="_Toc202857295"/>
      <w:bookmarkStart w:id="10" w:name="_Toc451157545"/>
      <w:r>
        <w:rPr>
          <w:rFonts w:eastAsiaTheme="minorEastAsia"/>
          <w:color w:val="000000" w:themeColor="text1"/>
          <w:sz w:val="36"/>
          <w:szCs w:val="36"/>
          <w14:textFill>
            <w14:solidFill>
              <w14:schemeClr w14:val="tx1"/>
            </w14:solidFill>
          </w14:textFill>
        </w:rPr>
        <w:t>2、大气质量现状监测及评价</w:t>
      </w:r>
    </w:p>
    <w:p>
      <w:pPr>
        <w:pStyle w:val="91"/>
        <w:ind w:firstLine="480"/>
        <w:rPr>
          <w:color w:val="000000" w:themeColor="text1"/>
          <w:kern w:val="24"/>
          <w14:textFill>
            <w14:solidFill>
              <w14:schemeClr w14:val="tx1"/>
            </w14:solidFill>
          </w14:textFill>
        </w:rPr>
      </w:pPr>
      <w:r>
        <w:rPr>
          <w:rFonts w:hint="eastAsia"/>
          <w:color w:val="000000" w:themeColor="text1"/>
          <w:kern w:val="24"/>
          <w14:textFill>
            <w14:solidFill>
              <w14:schemeClr w14:val="tx1"/>
            </w14:solidFill>
          </w14:textFill>
        </w:rPr>
        <w:t>（1）</w:t>
      </w:r>
      <w:r>
        <w:rPr>
          <w:color w:val="000000" w:themeColor="text1"/>
          <w:kern w:val="24"/>
          <w14:textFill>
            <w14:solidFill>
              <w14:schemeClr w14:val="tx1"/>
            </w14:solidFill>
          </w14:textFill>
        </w:rPr>
        <w:t>项目所在区域达标判断</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根据江西省</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厅发布的江西省各县市20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环境空气质量年均数据，</w:t>
      </w:r>
      <w:r>
        <w:rPr>
          <w:rFonts w:hint="eastAsia"/>
          <w:color w:val="000000" w:themeColor="text1"/>
          <w14:textFill>
            <w14:solidFill>
              <w14:schemeClr w14:val="tx1"/>
            </w14:solidFill>
          </w14:textFill>
        </w:rPr>
        <w:t>南康区</w:t>
      </w:r>
      <w:r>
        <w:rPr>
          <w:color w:val="000000" w:themeColor="text1"/>
          <w14:textFill>
            <w14:solidFill>
              <w14:schemeClr w14:val="tx1"/>
            </w14:solidFill>
          </w14:textFill>
        </w:rPr>
        <w:t>环境质量现状统计结果如下表。</w:t>
      </w:r>
    </w:p>
    <w:p>
      <w:pPr>
        <w:pStyle w:val="91"/>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根据大气功能区划分，本项目所在地为二类功能区，环境空气质量执行《环境空气质量标准》（GB3095-2012）二级标准。环境空气常规因子现状监测数据引用江西省生态环境厅发布的《</w:t>
      </w:r>
      <w:r>
        <w:rPr>
          <w:rFonts w:hint="eastAsia"/>
          <w:snapToGrid w:val="0"/>
          <w:color w:val="000000" w:themeColor="text1"/>
          <w14:textFill>
            <w14:solidFill>
              <w14:schemeClr w14:val="tx1"/>
            </w14:solidFill>
          </w14:textFill>
        </w:rPr>
        <w:t>2020</w:t>
      </w:r>
      <w:r>
        <w:rPr>
          <w:snapToGrid w:val="0"/>
          <w:color w:val="000000" w:themeColor="text1"/>
          <w14:textFill>
            <w14:solidFill>
              <w14:schemeClr w14:val="tx1"/>
            </w14:solidFill>
          </w14:textFill>
        </w:rPr>
        <w:t>年江西省各县（市、区）六项污染物浓度年平均值》中</w:t>
      </w:r>
      <w:r>
        <w:rPr>
          <w:rFonts w:hint="eastAsia"/>
          <w:snapToGrid w:val="0"/>
          <w:color w:val="000000" w:themeColor="text1"/>
          <w14:textFill>
            <w14:solidFill>
              <w14:schemeClr w14:val="tx1"/>
            </w14:solidFill>
          </w14:textFill>
        </w:rPr>
        <w:t>南康区</w:t>
      </w:r>
      <w:r>
        <w:rPr>
          <w:snapToGrid w:val="0"/>
          <w:color w:val="000000" w:themeColor="text1"/>
          <w14:textFill>
            <w14:solidFill>
              <w14:schemeClr w14:val="tx1"/>
            </w14:solidFill>
          </w14:textFill>
        </w:rPr>
        <w:t>数据得年平均空气质量监测数据，监测结果见表</w:t>
      </w:r>
      <w:r>
        <w:rPr>
          <w:rFonts w:hint="eastAsia"/>
          <w:snapToGrid w:val="0"/>
          <w:color w:val="000000" w:themeColor="text1"/>
          <w14:textFill>
            <w14:solidFill>
              <w14:schemeClr w14:val="tx1"/>
            </w14:solidFill>
          </w14:textFill>
        </w:rPr>
        <w:t>2</w:t>
      </w:r>
      <w:r>
        <w:rPr>
          <w:snapToGrid w:val="0"/>
          <w:color w:val="000000" w:themeColor="text1"/>
          <w14:textFill>
            <w14:solidFill>
              <w14:schemeClr w14:val="tx1"/>
            </w14:solidFill>
          </w14:textFill>
        </w:rPr>
        <w:t>-1。</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-1  </w:t>
      </w:r>
      <w:r>
        <w:rPr>
          <w:rFonts w:hint="eastAsia"/>
          <w:b/>
          <w:color w:val="000000" w:themeColor="text1"/>
          <w14:textFill>
            <w14:solidFill>
              <w14:schemeClr w14:val="tx1"/>
            </w14:solidFill>
          </w14:textFill>
        </w:rPr>
        <w:t>2020</w:t>
      </w:r>
      <w:r>
        <w:rPr>
          <w:b/>
          <w:color w:val="000000" w:themeColor="text1"/>
          <w14:textFill>
            <w14:solidFill>
              <w14:schemeClr w14:val="tx1"/>
            </w14:solidFill>
          </w14:textFill>
        </w:rPr>
        <w:t>年</w:t>
      </w:r>
      <w:r>
        <w:rPr>
          <w:rFonts w:hint="eastAsia"/>
          <w:b/>
          <w:color w:val="000000" w:themeColor="text1"/>
          <w14:textFill>
            <w14:solidFill>
              <w14:schemeClr w14:val="tx1"/>
            </w14:solidFill>
          </w14:textFill>
        </w:rPr>
        <w:t>南康区</w:t>
      </w:r>
      <w:r>
        <w:rPr>
          <w:b/>
          <w:color w:val="000000" w:themeColor="text1"/>
          <w14:textFill>
            <w14:solidFill>
              <w14:schemeClr w14:val="tx1"/>
            </w14:solidFill>
          </w14:textFill>
        </w:rPr>
        <w:t>空气主要污染物评价</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17"/>
        <w:gridCol w:w="3633"/>
        <w:gridCol w:w="1737"/>
        <w:gridCol w:w="1243"/>
        <w:gridCol w:w="8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2131"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年评价指标</w:t>
            </w:r>
          </w:p>
        </w:tc>
        <w:tc>
          <w:tcPr>
            <w:tcW w:w="101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评价标准</w:t>
            </w:r>
          </w:p>
        </w:tc>
        <w:tc>
          <w:tcPr>
            <w:tcW w:w="72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现状浓度</w:t>
            </w:r>
          </w:p>
        </w:tc>
        <w:tc>
          <w:tcPr>
            <w:tcW w:w="52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95%百分位数24小时平均</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1.0mg/m³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1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90%百分位数</w:t>
            </w:r>
            <w:r>
              <w:rPr>
                <w:rFonts w:hint="eastAsia"/>
                <w:color w:val="000000" w:themeColor="text1"/>
                <w:szCs w:val="21"/>
                <w14:textFill>
                  <w14:solidFill>
                    <w14:schemeClr w14:val="tx1"/>
                  </w14:solidFill>
                </w14:textFill>
              </w:rPr>
              <w:t>日</w:t>
            </w:r>
            <w:r>
              <w:rPr>
                <w:color w:val="000000" w:themeColor="text1"/>
                <w:szCs w:val="21"/>
                <w14:textFill>
                  <w14:solidFill>
                    <w14:schemeClr w14:val="tx1"/>
                  </w14:solidFill>
                </w14:textFill>
              </w:rPr>
              <w:t>最大8小时滑动平均</w:t>
            </w:r>
          </w:p>
        </w:tc>
        <w:tc>
          <w:tcPr>
            <w:tcW w:w="10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45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HCl</w:t>
            </w:r>
          </w:p>
        </w:tc>
        <w:tc>
          <w:tcPr>
            <w:tcW w:w="213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《环境影响评价技术导则  大气环境》（HJ2.2-2018）附录D中的浓度限值</w:t>
            </w:r>
          </w:p>
        </w:tc>
        <w:tc>
          <w:tcPr>
            <w:tcW w:w="101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0.05（一次）m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见现状监测</w:t>
            </w: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w:t>
            </w:r>
          </w:p>
        </w:tc>
        <w:tc>
          <w:tcPr>
            <w:tcW w:w="2131" w:type="pc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参照执行日本大气环境质量标准</w:t>
            </w:r>
          </w:p>
        </w:tc>
        <w:tc>
          <w:tcPr>
            <w:tcW w:w="101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0.6pgTEQ/m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（一次）</w:t>
            </w:r>
          </w:p>
        </w:tc>
        <w:tc>
          <w:tcPr>
            <w:tcW w:w="729" w:type="pct"/>
            <w:vMerge w:val="continue"/>
            <w:vAlign w:val="center"/>
          </w:tcPr>
          <w:p>
            <w:pPr>
              <w:jc w:val="center"/>
              <w:rPr>
                <w:color w:val="000000" w:themeColor="text1"/>
                <w:szCs w:val="21"/>
                <w14:textFill>
                  <w14:solidFill>
                    <w14:schemeClr w14:val="tx1"/>
                  </w14:solidFill>
                </w14:textFill>
              </w:rPr>
            </w:pP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2131" w:type="pc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参照前苏联环境空气质量标准</w:t>
            </w:r>
          </w:p>
        </w:tc>
        <w:tc>
          <w:tcPr>
            <w:tcW w:w="101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0.0003（一次）</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/m³</w:t>
            </w:r>
          </w:p>
        </w:tc>
        <w:tc>
          <w:tcPr>
            <w:tcW w:w="729" w:type="pct"/>
            <w:vMerge w:val="continue"/>
            <w:vAlign w:val="center"/>
          </w:tcPr>
          <w:p>
            <w:pPr>
              <w:jc w:val="center"/>
              <w:rPr>
                <w:color w:val="000000" w:themeColor="text1"/>
                <w:szCs w:val="21"/>
                <w14:textFill>
                  <w14:solidFill>
                    <w14:schemeClr w14:val="tx1"/>
                  </w14:solidFill>
                </w14:textFill>
              </w:rPr>
            </w:pPr>
          </w:p>
        </w:tc>
        <w:tc>
          <w:tcPr>
            <w:tcW w:w="5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由表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-1可知</w:t>
      </w:r>
      <w:r>
        <w:rPr>
          <w:rFonts w:hint="eastAsia"/>
          <w:color w:val="000000" w:themeColor="text1"/>
          <w14:textFill>
            <w14:solidFill>
              <w14:schemeClr w14:val="tx1"/>
            </w14:solidFill>
          </w14:textFill>
        </w:rPr>
        <w:t>南康区</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snapToGrid w:val="0"/>
          <w:color w:val="000000" w:themeColor="text1"/>
          <w:szCs w:val="21"/>
          <w14:textFill>
            <w14:solidFill>
              <w14:schemeClr w14:val="tx1"/>
            </w14:solidFill>
          </w14:textFill>
        </w:rPr>
        <w:t>PM</w:t>
      </w:r>
      <w:r>
        <w:rPr>
          <w:snapToGrid w:val="0"/>
          <w:color w:val="000000" w:themeColor="text1"/>
          <w:szCs w:val="21"/>
          <w:vertAlign w:val="subscript"/>
          <w14:textFill>
            <w14:solidFill>
              <w14:schemeClr w14:val="tx1"/>
            </w14:solidFill>
          </w14:textFill>
        </w:rPr>
        <w:t>10</w:t>
      </w:r>
      <w:r>
        <w:rPr>
          <w:color w:val="000000" w:themeColor="text1"/>
          <w14:textFill>
            <w14:solidFill>
              <w14:schemeClr w14:val="tx1"/>
            </w14:solidFill>
          </w14:textFill>
        </w:rPr>
        <w:t>年均值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日最大8小时平均值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年均值、CO日均值</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满足《环境空气质量标准》（GB3095-2012）的二级标准，属于达标区。</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（2）特征因子补充监测</w:t>
      </w:r>
    </w:p>
    <w:p>
      <w:pPr>
        <w:pStyle w:val="91"/>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为了解项目所在地区域环境现状质量，特征因子二噁英、HCL、汞环境现状质量，建设单位委托江西龙辉检测技术有限公司于</w:t>
      </w:r>
      <w:r>
        <w:rPr>
          <w:rFonts w:hint="eastAsia"/>
          <w:color w:val="000000" w:themeColor="text1"/>
          <w14:textFill>
            <w14:solidFill>
              <w14:schemeClr w14:val="tx1"/>
            </w14:solidFill>
          </w14:textFill>
        </w:rPr>
        <w:t>2021.11.30~12.7</w:t>
      </w:r>
      <w:r>
        <w:rPr>
          <w:rFonts w:hint="eastAsia"/>
          <w:bCs/>
          <w:color w:val="000000" w:themeColor="text1"/>
          <w14:textFill>
            <w14:solidFill>
              <w14:schemeClr w14:val="tx1"/>
            </w14:solidFill>
          </w14:textFill>
        </w:rPr>
        <w:t>对项目所在地环境空气质量进行现状监测，监测点位位于本项目下风向</w:t>
      </w:r>
      <w:r>
        <w:rPr>
          <w:rFonts w:hint="eastAsia"/>
          <w:color w:val="000000" w:themeColor="text1"/>
          <w14:textFill>
            <w14:solidFill>
              <w14:schemeClr w14:val="tx1"/>
            </w14:solidFill>
          </w14:textFill>
        </w:rPr>
        <w:t>下岭孜</w:t>
      </w:r>
      <w:r>
        <w:rPr>
          <w:rFonts w:hint="eastAsia"/>
          <w:bCs/>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-2  大气环境现状监测点位基本信息表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7"/>
        <w:gridCol w:w="2288"/>
        <w:gridCol w:w="3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监测点序号</w:t>
            </w:r>
          </w:p>
        </w:tc>
        <w:tc>
          <w:tcPr>
            <w:tcW w:w="134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监测点名称</w:t>
            </w:r>
          </w:p>
        </w:tc>
        <w:tc>
          <w:tcPr>
            <w:tcW w:w="2316"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2" w:type="pct"/>
            <w:vAlign w:val="center"/>
          </w:tcPr>
          <w:p>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G1</w:t>
            </w:r>
          </w:p>
        </w:tc>
        <w:tc>
          <w:tcPr>
            <w:tcW w:w="1342" w:type="pct"/>
            <w:vAlign w:val="center"/>
          </w:tcPr>
          <w:p>
            <w:pPr>
              <w:pStyle w:val="124"/>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下岭孜</w:t>
            </w:r>
            <w:r>
              <w:rPr>
                <w:color w:val="000000" w:themeColor="text1"/>
                <w:szCs w:val="21"/>
                <w14:textFill>
                  <w14:solidFill>
                    <w14:schemeClr w14:val="tx1"/>
                  </w14:solidFill>
                </w14:textFill>
              </w:rPr>
              <w:t>居民点</w:t>
            </w:r>
          </w:p>
        </w:tc>
        <w:tc>
          <w:tcPr>
            <w:tcW w:w="2316" w:type="pct"/>
            <w:vAlign w:val="center"/>
          </w:tcPr>
          <w:p>
            <w:pPr>
              <w:pStyle w:val="124"/>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124"/>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905375" cy="3486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05375" cy="3486387"/>
                          </a:xfrm>
                          <a:prstGeom prst="rect">
                            <a:avLst/>
                          </a:prstGeom>
                          <a:noFill/>
                          <a:ln>
                            <a:noFill/>
                          </a:ln>
                        </pic:spPr>
                      </pic:pic>
                    </a:graphicData>
                  </a:graphic>
                </wp:inline>
              </w:drawing>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（3）监测项目：HCl、二噁英、汞，共3项。</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（4）监测时间及频率：进行一期监测，连续监测7天。每天采样不少于4次，每次采样不少于45分钟，具体时间为：2:00、8:00、14:00、20:00。另：二噁英每天累计采样时间不少于18h。</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（5）监测及分析方法</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按《环境影响评价技术导则大气环境》（HJ2.2－2018）、《环境空气质量评价技术规范（试行）（HJ663-2013）》和《环境空气质量监测点位布设技术规范（试行）》（HJ664-2013）执行。</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-3    </w:t>
      </w:r>
      <w:r>
        <w:rPr>
          <w:b/>
          <w:color w:val="000000" w:themeColor="text1"/>
          <w:lang w:val="en-GB"/>
          <w14:textFill>
            <w14:solidFill>
              <w14:schemeClr w14:val="tx1"/>
            </w14:solidFill>
          </w14:textFill>
        </w:rPr>
        <w:t>其他污染物环境质量现状（监测结果）</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269"/>
        <w:gridCol w:w="1843"/>
        <w:gridCol w:w="1560"/>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top w:val="single" w:color="auto" w:sz="12" w:space="0"/>
              <w:left w:val="nil"/>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检测项目</w:t>
            </w:r>
          </w:p>
        </w:tc>
        <w:tc>
          <w:tcPr>
            <w:tcW w:w="1331" w:type="pct"/>
            <w:vMerge w:val="restart"/>
            <w:tcBorders>
              <w:top w:val="single" w:color="auto" w:sz="12" w:space="0"/>
              <w:left w:val="single" w:color="auto" w:sz="4" w:space="0"/>
              <w:bottom w:val="single" w:color="auto" w:sz="4" w:space="0"/>
              <w:right w:val="single" w:color="auto" w:sz="4" w:space="0"/>
              <w:tl2br w:val="single" w:color="auto" w:sz="6" w:space="0"/>
            </w:tcBorders>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 xml:space="preserve">        采样点位</w:t>
            </w:r>
          </w:p>
          <w:p>
            <w:pPr>
              <w:widowControl/>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采样时间</w:t>
            </w:r>
          </w:p>
        </w:tc>
        <w:tc>
          <w:tcPr>
            <w:tcW w:w="1081" w:type="pct"/>
            <w:vMerge w:val="restart"/>
            <w:tcBorders>
              <w:top w:val="single" w:color="auto" w:sz="12" w:space="0"/>
              <w:left w:val="single" w:color="auto" w:sz="4" w:space="0"/>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r>
              <w:rPr>
                <w:b/>
                <w:color w:val="000000" w:themeColor="text1"/>
                <w14:textFill>
                  <w14:solidFill>
                    <w14:schemeClr w14:val="tx1"/>
                  </w14:solidFill>
                </w14:textFill>
              </w:rPr>
              <w:t>采样时段</w:t>
            </w:r>
          </w:p>
        </w:tc>
        <w:tc>
          <w:tcPr>
            <w:tcW w:w="2026" w:type="pct"/>
            <w:gridSpan w:val="2"/>
            <w:tcBorders>
              <w:top w:val="single" w:color="auto" w:sz="12" w:space="0"/>
              <w:left w:val="single" w:color="auto" w:sz="4" w:space="0"/>
              <w:bottom w:val="single" w:color="auto" w:sz="4" w:space="0"/>
              <w:right w:val="nil"/>
            </w:tcBorders>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下岭孜居民点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p>
        </w:tc>
        <w:tc>
          <w:tcPr>
            <w:tcW w:w="133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p>
        </w:tc>
        <w:tc>
          <w:tcPr>
            <w:tcW w:w="108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p>
        </w:tc>
        <w:tc>
          <w:tcPr>
            <w:tcW w:w="91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样品编号</w:t>
            </w:r>
          </w:p>
        </w:tc>
        <w:tc>
          <w:tcPr>
            <w:tcW w:w="1111" w:type="pct"/>
            <w:tcBorders>
              <w:top w:val="single" w:color="auto" w:sz="4" w:space="0"/>
              <w:left w:val="single" w:color="auto" w:sz="4" w:space="0"/>
              <w:bottom w:val="single" w:color="auto" w:sz="4" w:space="0"/>
              <w:right w:val="nil"/>
            </w:tcBorders>
            <w:vAlign w:val="center"/>
          </w:tcPr>
          <w:p>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分析结果</w:t>
            </w:r>
            <w:r>
              <w:rPr>
                <w:rFonts w:hint="eastAsia"/>
                <w:b/>
                <w:color w:val="000000" w:themeColor="text1"/>
                <w:szCs w:val="21"/>
                <w14:textFill>
                  <w14:solidFill>
                    <w14:schemeClr w14:val="tx1"/>
                  </w14:solidFill>
                </w14:textFill>
              </w:rPr>
              <w:t>（m</w:t>
            </w:r>
            <w:r>
              <w:rPr>
                <w:b/>
                <w:color w:val="000000" w:themeColor="text1"/>
                <w:szCs w:val="21"/>
                <w14:textFill>
                  <w14:solidFill>
                    <w14:schemeClr w14:val="tx1"/>
                  </w14:solidFill>
                </w14:textFill>
              </w:rPr>
              <w:t>g/m</w:t>
            </w:r>
            <w:r>
              <w:rPr>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氯化氢</w:t>
            </w:r>
          </w:p>
        </w:tc>
        <w:tc>
          <w:tcPr>
            <w:tcW w:w="1331" w:type="pct"/>
            <w:vMerge w:val="restart"/>
            <w:tcBorders>
              <w:top w:val="single" w:color="auto" w:sz="4" w:space="0"/>
              <w:left w:val="single" w:color="auto" w:sz="4" w:space="0"/>
              <w:right w:val="single" w:color="auto" w:sz="4" w:space="0"/>
            </w:tcBorders>
            <w:vAlign w:val="center"/>
          </w:tcPr>
          <w:p>
            <w:pPr>
              <w:tabs>
                <w:tab w:val="left" w:pos="645"/>
              </w:tabs>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2021.11.30</w:t>
            </w:r>
          </w:p>
        </w:tc>
        <w:tc>
          <w:tcPr>
            <w:tcW w:w="1081"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H1201Q001</w:t>
            </w:r>
          </w:p>
        </w:tc>
        <w:tc>
          <w:tcPr>
            <w:tcW w:w="1111"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H1201Q002</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H1201Q003</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H1201Q004</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2021.12.1</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H1201Q006</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H1201Q007</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H1201Q008</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2021.12.2</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H1201Q009</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H1201Q010</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H1201Q011</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H1201Q012</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2021.12.3</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H1201Q013</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H1201Q014</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H1201Q016</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2021.12.4</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H1201Q017</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H1201Q018</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H1201Q019</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H1201Q020</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2021.12.5</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H1201Q021</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H1201Q022</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H1201Q023</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H1201Q024</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2021.12.6</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H1201Q026</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H1201Q027</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H1201Q028</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汞</w:t>
            </w:r>
          </w:p>
        </w:tc>
        <w:tc>
          <w:tcPr>
            <w:tcW w:w="1331" w:type="pct"/>
            <w:vMerge w:val="restart"/>
            <w:tcBorders>
              <w:top w:val="single" w:color="auto" w:sz="4" w:space="0"/>
              <w:left w:val="single" w:color="auto" w:sz="4" w:space="0"/>
              <w:right w:val="single" w:color="auto" w:sz="4" w:space="0"/>
            </w:tcBorders>
            <w:vAlign w:val="center"/>
          </w:tcPr>
          <w:p>
            <w:pPr>
              <w:tabs>
                <w:tab w:val="left" w:pos="645"/>
              </w:tabs>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2021.11.30</w:t>
            </w:r>
          </w:p>
        </w:tc>
        <w:tc>
          <w:tcPr>
            <w:tcW w:w="1081"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H1201Q029</w:t>
            </w:r>
          </w:p>
        </w:tc>
        <w:tc>
          <w:tcPr>
            <w:tcW w:w="1111"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H1201Q030</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H1201Q031</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H1201Q032</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2021.12.1</w:t>
            </w:r>
          </w:p>
        </w:tc>
        <w:tc>
          <w:tcPr>
            <w:tcW w:w="1081" w:type="pct"/>
            <w:tcBorders>
              <w:top w:val="single" w:color="auto" w:sz="4" w:space="0"/>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H1201Q033</w:t>
            </w:r>
          </w:p>
        </w:tc>
        <w:tc>
          <w:tcPr>
            <w:tcW w:w="1111"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H1201Q034</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H1201Q036</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top w:val="single" w:color="auto" w:sz="4" w:space="0"/>
              <w:left w:val="single" w:color="auto" w:sz="4" w:space="0"/>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2021.12.2</w:t>
            </w:r>
          </w:p>
        </w:tc>
        <w:tc>
          <w:tcPr>
            <w:tcW w:w="1081" w:type="pct"/>
            <w:tcBorders>
              <w:top w:val="single" w:color="auto" w:sz="4" w:space="0"/>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H1201Q037</w:t>
            </w:r>
          </w:p>
        </w:tc>
        <w:tc>
          <w:tcPr>
            <w:tcW w:w="1111" w:type="pct"/>
            <w:tcBorders>
              <w:top w:val="single" w:color="auto" w:sz="4" w:space="0"/>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H1201Q038</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H1201Q039</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H1201Q040</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2021.12.3</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H1201Q041</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H1201Q042</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H1201Q043</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H1201Q044</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2021.12.4</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H1201Q046</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H1201Q047</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H1201Q048</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2021.12.5</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H1201Q049</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H1201Q050</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H1201Q051</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bottom w:val="single" w:color="auto" w:sz="4" w:space="0"/>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H1201Q052</w:t>
            </w:r>
          </w:p>
        </w:tc>
        <w:tc>
          <w:tcPr>
            <w:tcW w:w="1111" w:type="pct"/>
            <w:tcBorders>
              <w:left w:val="single" w:color="auto" w:sz="4" w:space="0"/>
              <w:bottom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restar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2021.12.6</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2：00~3：00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H1201Q053</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8：00~9：00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H1201Q054</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14：00~15：00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H1201Q055</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 w:val="24"/>
                <w14:textFill>
                  <w14:solidFill>
                    <w14:schemeClr w14:val="tx1"/>
                  </w14:solidFill>
                </w14:textFill>
              </w:rPr>
            </w:pPr>
          </w:p>
        </w:tc>
        <w:tc>
          <w:tcPr>
            <w:tcW w:w="1331" w:type="pct"/>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20：00~21：00</w:t>
            </w:r>
          </w:p>
        </w:tc>
        <w:tc>
          <w:tcPr>
            <w:tcW w:w="915"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H1201Q056</w:t>
            </w:r>
          </w:p>
        </w:tc>
        <w:tc>
          <w:tcPr>
            <w:tcW w:w="1111" w:type="pct"/>
            <w:tcBorders>
              <w:left w:val="single" w:color="auto" w:sz="4" w:space="0"/>
              <w:right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tcBorders>
              <w:left w:val="nil"/>
              <w:right w:val="single" w:color="auto" w:sz="4" w:space="0"/>
            </w:tcBorders>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检测项目</w:t>
            </w:r>
          </w:p>
        </w:tc>
        <w:tc>
          <w:tcPr>
            <w:tcW w:w="1331" w:type="pct"/>
            <w:tcBorders>
              <w:left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监测时间</w:t>
            </w:r>
          </w:p>
        </w:tc>
        <w:tc>
          <w:tcPr>
            <w:tcW w:w="1081" w:type="pct"/>
            <w:tcBorders>
              <w:left w:val="nil"/>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采样样品编号</w:t>
            </w:r>
          </w:p>
        </w:tc>
        <w:tc>
          <w:tcPr>
            <w:tcW w:w="2026" w:type="pct"/>
            <w:gridSpan w:val="2"/>
            <w:tcBorders>
              <w:left w:val="single" w:color="auto" w:sz="4" w:space="0"/>
              <w:right w:val="nil"/>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检测结果（pg-TEQ/m</w:t>
            </w:r>
            <w:r>
              <w:rPr>
                <w:rFonts w:hint="eastAsia"/>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restart"/>
            <w:tcBorders>
              <w:left w:val="nil"/>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环境空气中二噁英（石英纤维滤膜、PUF）</w:t>
            </w: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08</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09</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K211208E120101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09</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K211209E120101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K211210E120101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K211211E120101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13</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K211212E120101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13</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11213E120101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Merge w:val="continue"/>
            <w:tcBorders>
              <w:left w:val="nil"/>
              <w:right w:val="single" w:color="auto" w:sz="4" w:space="0"/>
            </w:tcBorders>
            <w:vAlign w:val="center"/>
          </w:tcPr>
          <w:p>
            <w:pPr>
              <w:jc w:val="center"/>
              <w:rPr>
                <w:color w:val="000000" w:themeColor="text1"/>
                <w:szCs w:val="21"/>
                <w14:textFill>
                  <w14:solidFill>
                    <w14:schemeClr w14:val="tx1"/>
                  </w14:solidFill>
                </w14:textFill>
              </w:rPr>
            </w:pPr>
          </w:p>
        </w:tc>
        <w:tc>
          <w:tcPr>
            <w:tcW w:w="1331" w:type="pct"/>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~2021.</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c>
          <w:tcPr>
            <w:tcW w:w="1081" w:type="pct"/>
            <w:tcBorders>
              <w:left w:val="nil"/>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K211214E120101</w:t>
            </w:r>
          </w:p>
        </w:tc>
        <w:tc>
          <w:tcPr>
            <w:tcW w:w="2026" w:type="pct"/>
            <w:gridSpan w:val="2"/>
            <w:tcBorders>
              <w:left w:val="single" w:color="auto" w:sz="4" w:space="0"/>
              <w:right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tcBorders>
              <w:left w:val="nil"/>
              <w:bottom w:val="single" w:color="auto" w:sz="12" w:space="0"/>
              <w:right w:val="single" w:color="auto" w:sz="4" w:space="0"/>
            </w:tcBorders>
            <w:vAlign w:val="center"/>
          </w:tcPr>
          <w:p>
            <w:pPr>
              <w:ind w:right="-105" w:rightChars="-50"/>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备注</w:t>
            </w:r>
          </w:p>
        </w:tc>
        <w:tc>
          <w:tcPr>
            <w:tcW w:w="4438" w:type="pct"/>
            <w:gridSpan w:val="4"/>
            <w:tcBorders>
              <w:left w:val="single" w:color="auto" w:sz="4" w:space="0"/>
              <w:bottom w:val="single" w:color="auto" w:sz="12" w:space="0"/>
              <w:right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r>
              <w:rPr>
                <w:color w:val="000000" w:themeColor="text1"/>
                <w:szCs w:val="21"/>
                <w14:textFill>
                  <w14:solidFill>
                    <w14:schemeClr w14:val="tx1"/>
                  </w14:solidFill>
                </w14:textFill>
              </w:rPr>
              <w:t>表示检测结果低于该项目方法检出限</w:t>
            </w:r>
            <w:r>
              <w:rPr>
                <w:rFonts w:hint="eastAsia"/>
                <w:color w:val="000000" w:themeColor="text1"/>
                <w:szCs w:val="21"/>
                <w14:textFill>
                  <w14:solidFill>
                    <w14:schemeClr w14:val="tx1"/>
                  </w14:solidFill>
                </w14:textFill>
              </w:rPr>
              <w:t>。</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根据补充监测结果，评价范围内环境空气现状评价因子中HCl能满足《环境影响评价技术导则大气环境》（HJ2.2-2018）附录D 表D.1其它污染物空气质量浓度参考限值。</w:t>
      </w:r>
    </w:p>
    <w:p>
      <w:pPr>
        <w:pStyle w:val="91"/>
        <w:ind w:firstLine="480"/>
        <w:rPr>
          <w:color w:val="000000" w:themeColor="text1"/>
          <w14:textFill>
            <w14:solidFill>
              <w14:schemeClr w14:val="tx1"/>
            </w14:solidFill>
          </w14:textFill>
        </w:rPr>
        <w:sectPr>
          <w:pgSz w:w="11907" w:h="16840"/>
          <w:pgMar w:top="1440" w:right="1800" w:bottom="1440" w:left="1800" w:header="1134" w:footer="567" w:gutter="0"/>
          <w:cols w:space="720" w:num="1"/>
          <w:docGrid w:type="lines" w:linePitch="286" w:charSpace="80"/>
        </w:sectPr>
      </w:pPr>
    </w:p>
    <w:bookmarkEnd w:id="9"/>
    <w:bookmarkEnd w:id="10"/>
    <w:p>
      <w:pPr>
        <w:pStyle w:val="6"/>
        <w:jc w:val="center"/>
        <w:rPr>
          <w:rFonts w:eastAsiaTheme="majorEastAsia"/>
          <w:color w:val="000000" w:themeColor="text1"/>
          <w:sz w:val="36"/>
          <w:szCs w:val="36"/>
          <w14:textFill>
            <w14:solidFill>
              <w14:schemeClr w14:val="tx1"/>
            </w14:solidFill>
          </w14:textFill>
        </w:rPr>
      </w:pPr>
      <w:bookmarkStart w:id="11" w:name="_Toc451157546"/>
      <w:r>
        <w:rPr>
          <w:rFonts w:eastAsiaTheme="majorEastAsia"/>
          <w:color w:val="000000" w:themeColor="text1"/>
          <w:sz w:val="36"/>
          <w:szCs w:val="36"/>
          <w14:textFill>
            <w14:solidFill>
              <w14:schemeClr w14:val="tx1"/>
            </w14:solidFill>
          </w14:textFill>
        </w:rPr>
        <w:t>3、</w:t>
      </w:r>
      <w:bookmarkEnd w:id="11"/>
      <w:r>
        <w:rPr>
          <w:rFonts w:eastAsiaTheme="majorEastAsia"/>
          <w:color w:val="000000" w:themeColor="text1"/>
          <w:sz w:val="36"/>
          <w:szCs w:val="36"/>
          <w14:textFill>
            <w14:solidFill>
              <w14:schemeClr w14:val="tx1"/>
            </w14:solidFill>
          </w14:textFill>
        </w:rPr>
        <w:t>工程分析</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本项目本项目不涉及遗物焚烧，未设遗物、花圈焚烧炉。营运期的废气主要为项目火化炉焚烧尸体过程中产生的烟尘、SO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、CO、HCl、以及少量的汞、二噁英类等废气，食堂油烟废气等。</w:t>
      </w:r>
    </w:p>
    <w:p>
      <w:pPr>
        <w:pStyle w:val="91"/>
        <w:ind w:firstLine="480"/>
        <w:rPr>
          <w:color w:val="000000" w:themeColor="text1"/>
          <w14:textFill>
            <w14:solidFill>
              <w14:schemeClr w14:val="tx1"/>
            </w14:solidFill>
          </w14:textFill>
        </w:rPr>
      </w:pPr>
      <w:r>
        <w:rPr>
          <w:snapToGrid w:val="0"/>
          <w:color w:val="000000" w:themeColor="text1"/>
          <w:kern w:val="0"/>
          <w14:textFill>
            <w14:solidFill>
              <w14:schemeClr w14:val="tx1"/>
            </w14:solidFill>
          </w14:textFill>
        </w:rPr>
        <w:t>（1）</w:t>
      </w:r>
      <w:r>
        <w:rPr>
          <w:color w:val="000000" w:themeColor="text1"/>
          <w14:textFill>
            <w14:solidFill>
              <w14:schemeClr w14:val="tx1"/>
            </w14:solidFill>
          </w14:textFill>
        </w:rPr>
        <w:t>火化炉废气</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根据建设单位提供的资料，本项目火化间拟设置燃柴油式火化炉</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台，最高年服务能力可火化遗体</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00具。</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整个燃烧过程采用全电脑控制，压力、氧量、温度三个参数参与电脑控制，实现自动点火、自动调节压力、氧量和温度。火化炉由台车、主燃室、二燃室、燃烧器、烟道、风机、引射装置和烟囱组成。火化炉火化遗体运行流程为：遗体由送尸车接尸、送尸进入火化炉的炉膛，待遗体火化完毕后，骨灰退出到预备室，然后由火化间工作人员拣灰入骨灰盒。</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火化炉火化遗体使用的燃料为0#~20#轻柴油。根据火化炉技术指标，火化炉火化每具遗体耗油量</w:t>
      </w:r>
      <w:r>
        <w:rPr>
          <w:rFonts w:hint="eastAsia"/>
          <w:color w:val="000000" w:themeColor="text1"/>
          <w14:textFill>
            <w14:solidFill>
              <w14:schemeClr w14:val="tx1"/>
            </w14:solidFill>
          </w14:textFill>
        </w:rPr>
        <w:t>20升</w:t>
      </w:r>
      <w:r>
        <w:rPr>
          <w:color w:val="000000" w:themeColor="text1"/>
          <w14:textFill>
            <w14:solidFill>
              <w14:schemeClr w14:val="tx1"/>
            </w14:solidFill>
          </w14:textFill>
        </w:rPr>
        <w:t>，火化每具遗体平均火化时间60分钟左右。一般情况下，火化炉关闭，有遗体焚烧任务时开启，满负荷运行时每台每天焚化</w:t>
      </w:r>
      <w:r>
        <w:rPr>
          <w:rFonts w:hint="eastAsia"/>
          <w:color w:val="000000" w:themeColor="text1"/>
          <w14:textFill>
            <w14:solidFill>
              <w14:schemeClr w14:val="tx1"/>
            </w14:solidFill>
          </w14:textFill>
        </w:rPr>
        <w:t>3具遗体。</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每台火化炉各自设置一套</w:t>
      </w:r>
      <w:r>
        <w:rPr>
          <w:rFonts w:hint="eastAsia"/>
          <w:color w:val="000000" w:themeColor="text1"/>
          <w14:textFill>
            <w14:solidFill>
              <w14:schemeClr w14:val="tx1"/>
            </w14:solidFill>
          </w14:textFill>
        </w:rPr>
        <w:t>废气处理系统，火化产生的废气经100%有组织收集后通过</w:t>
      </w:r>
      <w:r>
        <w:rPr>
          <w:color w:val="000000" w:themeColor="text1"/>
          <w:szCs w:val="21"/>
          <w14:textFill>
            <w14:solidFill>
              <w14:schemeClr w14:val="tx1"/>
            </w14:solidFill>
          </w14:textFill>
        </w:rPr>
        <w:t>急冷装置+布袋除尘+双碱水膜脱硫+</w:t>
      </w:r>
      <w:r>
        <w:rPr>
          <w:rFonts w:hint="eastAsia"/>
          <w:color w:val="000000" w:themeColor="text1"/>
          <w:szCs w:val="21"/>
          <w14:textFill>
            <w14:solidFill>
              <w14:schemeClr w14:val="tx1"/>
            </w14:solidFill>
          </w14:textFill>
        </w:rPr>
        <w:t>活性炭喷射</w:t>
      </w:r>
      <w:r>
        <w:rPr>
          <w:color w:val="000000" w:themeColor="text1"/>
          <w:szCs w:val="21"/>
          <w14:textFill>
            <w14:solidFill>
              <w14:schemeClr w14:val="tx1"/>
            </w14:solidFill>
          </w14:textFill>
        </w:rPr>
        <w:t>处理后通过离地</w:t>
      </w:r>
      <w:r>
        <w:rPr>
          <w:rFonts w:hint="eastAsia"/>
          <w:color w:val="000000" w:themeColor="text1"/>
          <w:szCs w:val="21"/>
          <w14:textFill>
            <w14:solidFill>
              <w14:schemeClr w14:val="tx1"/>
            </w14:solidFill>
          </w14:textFill>
        </w:rPr>
        <w:t>15m的排气筒高空排放。</w:t>
      </w:r>
      <w:r>
        <w:rPr>
          <w:color w:val="000000" w:themeColor="text1"/>
          <w14:textFill>
            <w14:solidFill>
              <w14:schemeClr w14:val="tx1"/>
            </w14:solidFill>
          </w14:textFill>
        </w:rPr>
        <w:t>火化炉主要技术指标如</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项目拟采用火化炉主要技术指标</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1683"/>
        <w:gridCol w:w="2354"/>
        <w:gridCol w:w="1824"/>
        <w:gridCol w:w="24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启用时间</w:t>
            </w:r>
          </w:p>
        </w:tc>
        <w:tc>
          <w:tcPr>
            <w:tcW w:w="1417" w:type="pct"/>
            <w:vAlign w:val="center"/>
          </w:tcPr>
          <w:p>
            <w:pPr>
              <w:contextualSpacing/>
              <w:jc w:val="center"/>
              <w:rPr>
                <w:color w:val="000000" w:themeColor="text1"/>
                <w:szCs w:val="21"/>
                <w14:textFill>
                  <w14:solidFill>
                    <w14:schemeClr w14:val="tx1"/>
                  </w14:solidFill>
                </w14:textFill>
              </w:rPr>
            </w:pPr>
            <w:r>
              <w:rPr>
                <w:color w:val="000000" w:themeColor="text1"/>
                <w:w w:val="99"/>
                <w:szCs w:val="21"/>
                <w14:textFill>
                  <w14:solidFill>
                    <w14:schemeClr w14:val="tx1"/>
                  </w14:solidFill>
                </w14:textFill>
              </w:rPr>
              <w:t>—</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炉膛温度</w:t>
            </w:r>
          </w:p>
        </w:tc>
        <w:tc>
          <w:tcPr>
            <w:tcW w:w="1472"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86</w:t>
            </w:r>
            <w:r>
              <w:rPr>
                <w:color w:val="000000" w:themeColor="text1"/>
                <w:szCs w:val="21"/>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运行时数</w:t>
            </w:r>
          </w:p>
        </w:tc>
        <w:tc>
          <w:tcPr>
            <w:tcW w:w="1417"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h/d</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炉膛压力</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position w:val="2"/>
                <w:szCs w:val="21"/>
                <w14:textFill>
                  <w14:solidFill>
                    <w14:schemeClr w14:val="tx1"/>
                  </w14:solidFill>
                </w14:textFill>
              </w:rPr>
              <w:t>-20P</w:t>
            </w:r>
            <w:r>
              <w:rPr>
                <w:color w:val="000000" w:themeColor="text1"/>
                <w:position w:val="2"/>
                <w:szCs w:val="21"/>
                <w:vertAlign w:val="subscript"/>
                <w14:textFill>
                  <w14:solidFill>
                    <w14:schemeClr w14:val="tx1"/>
                  </w14:solidFill>
                </w14:textFill>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火化时间</w:t>
            </w:r>
          </w:p>
        </w:tc>
        <w:tc>
          <w:tcPr>
            <w:tcW w:w="141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35-60</w:t>
            </w:r>
            <w:r>
              <w:rPr>
                <w:rFonts w:hint="eastAsia" w:ascii="宋体" w:hAnsi="宋体" w:cs="宋体"/>
                <w:color w:val="000000" w:themeColor="text1"/>
                <w:szCs w:val="21"/>
                <w14:textFill>
                  <w14:solidFill>
                    <w14:schemeClr w14:val="tx1"/>
                  </w14:solidFill>
                </w14:textFill>
              </w:rPr>
              <w:t>分</w:t>
            </w:r>
            <w:r>
              <w:rPr>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具</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烟气温度</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设备现状</w:t>
            </w:r>
          </w:p>
        </w:tc>
        <w:tc>
          <w:tcPr>
            <w:tcW w:w="1417"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使用中</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烟气流速</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 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除尘方式</w:t>
            </w:r>
          </w:p>
        </w:tc>
        <w:tc>
          <w:tcPr>
            <w:tcW w:w="1417"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多级燃烧</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烟气流量</w:t>
            </w:r>
          </w:p>
        </w:tc>
        <w:tc>
          <w:tcPr>
            <w:tcW w:w="1472"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000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风机配置</w:t>
            </w:r>
          </w:p>
        </w:tc>
        <w:tc>
          <w:tcPr>
            <w:tcW w:w="1417"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鼓、引风齐全</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烟气湿度</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燃料种类</w:t>
            </w:r>
          </w:p>
        </w:tc>
        <w:tc>
          <w:tcPr>
            <w:tcW w:w="1417"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轻柴油</w:t>
            </w:r>
          </w:p>
        </w:tc>
        <w:tc>
          <w:tcPr>
            <w:tcW w:w="1098"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含氧量</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PrEx>
        <w:trPr>
          <w:trHeight w:val="329" w:hRule="atLeast"/>
        </w:trPr>
        <w:tc>
          <w:tcPr>
            <w:tcW w:w="1013"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每具耗能量</w:t>
            </w:r>
          </w:p>
        </w:tc>
        <w:tc>
          <w:tcPr>
            <w:tcW w:w="1417"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升左右</w:t>
            </w:r>
          </w:p>
        </w:tc>
        <w:tc>
          <w:tcPr>
            <w:tcW w:w="10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α</w:t>
            </w:r>
            <w:r>
              <w:rPr>
                <w:color w:val="000000" w:themeColor="text1"/>
                <w:spacing w:val="5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值</w:t>
            </w:r>
          </w:p>
        </w:tc>
        <w:tc>
          <w:tcPr>
            <w:tcW w:w="147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r>
    </w:tbl>
    <w:p>
      <w:pPr>
        <w:pStyle w:val="91"/>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尸体在焚烧过程中不可避免会产生剧毒物质二噁英，为避免对周边环境造成不良影响，建设单位采用具备二次燃烧的火化炉对火化尾气进行处理。</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本次环评引用《火葬场大气污染物排放标准》编制说明中的“行业排污现状调查数据表”中表8：2009年3月国家环境分析测试中心对某地火化炉尾气中二噁英含量的检测报告，烟气中二噁英排放结果见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  2009年3月国家环境分析测试中心二噁英排放测试结果</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420"/>
        <w:gridCol w:w="410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检测项目</w:t>
            </w:r>
          </w:p>
        </w:tc>
        <w:tc>
          <w:tcPr>
            <w:tcW w:w="2407" w:type="pct"/>
            <w:shd w:val="clear" w:color="auto" w:fill="auto"/>
            <w:vAlign w:val="center"/>
          </w:tcPr>
          <w:p>
            <w:pPr>
              <w:contextualSpacing/>
              <w:jc w:val="center"/>
              <w:rPr>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烟气二噁英类平均值</w:t>
            </w:r>
            <w:r>
              <w:rPr>
                <w:b/>
                <w:bCs/>
                <w:color w:val="000000" w:themeColor="text1"/>
                <w:kern w:val="0"/>
                <w:szCs w:val="21"/>
                <w14:textFill>
                  <w14:solidFill>
                    <w14:schemeClr w14:val="tx1"/>
                  </w14:solidFill>
                </w14:textFill>
              </w:rPr>
              <w:t>(ng-TEQ/m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号馆平板炉（无后处理设备）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号馆台式炉（无后处理设备）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号馆平板炉（无后处理设备）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号馆台式炉（无后处理设备）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号馆平板炉（无后处理设备）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号馆台式炉（无后处理设备）</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2593" w:type="pct"/>
            <w:shd w:val="clear" w:color="auto" w:fill="auto"/>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平均值</w:t>
            </w:r>
          </w:p>
        </w:tc>
        <w:tc>
          <w:tcPr>
            <w:tcW w:w="2407" w:type="pct"/>
            <w:shd w:val="clear" w:color="auto" w:fill="auto"/>
            <w:vAlign w:val="center"/>
          </w:tcPr>
          <w:p>
            <w:pPr>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4.1</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目前二次燃烧火化炉尾气处理系统应用较广泛，技术成熟，二噁英去除率达90%以上。类比以上数据以二噁英产生量平均值，估算本项目二噁英产生量约为4.1ng-TEQ/m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，经二次燃烧火化炉尾气处理系统处理后排放量约为0.41ng-TEQ/m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。项目火化烟气中其他污染物（烟尘、SO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x、CO、HCl和汞）产生浓度参考《大余县殡仪馆建设项目环境影响报告表》，经查阅《大余县殡仪馆建设项目环境影响报告表》，该馆所使用的火化炉与本项目所使用的设备火化参数相同，具有可类比性。本项目</w:t>
      </w:r>
      <w:r>
        <w:rPr>
          <w:color w:val="000000" w:themeColor="text1"/>
          <w14:textFill>
            <w14:solidFill>
              <w14:schemeClr w14:val="tx1"/>
            </w14:solidFill>
          </w14:textFill>
        </w:rPr>
        <w:t>具体火化尾气产排情况见表3-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火化炉尾气污染物产生参数情况</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59"/>
        <w:gridCol w:w="2635"/>
        <w:gridCol w:w="34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Merge w:val="restart"/>
            <w:vAlign w:val="center"/>
          </w:tcPr>
          <w:p>
            <w:pPr>
              <w:contextualSpacing/>
              <w:jc w:val="center"/>
              <w:rPr>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w:t>
            </w:r>
          </w:p>
        </w:tc>
        <w:tc>
          <w:tcPr>
            <w:tcW w:w="3640" w:type="pct"/>
            <w:gridSpan w:val="2"/>
            <w:vAlign w:val="center"/>
          </w:tcPr>
          <w:p>
            <w:pPr>
              <w:contextualSpacing/>
              <w:jc w:val="center"/>
              <w:rPr>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产生参数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Merge w:val="continue"/>
            <w:vAlign w:val="center"/>
          </w:tcPr>
          <w:p>
            <w:pPr>
              <w:contextualSpacing/>
              <w:jc w:val="center"/>
              <w:rPr>
                <w:b/>
                <w:bCs/>
                <w:color w:val="000000" w:themeColor="text1"/>
                <w:szCs w:val="21"/>
                <w14:textFill>
                  <w14:solidFill>
                    <w14:schemeClr w14:val="tx1"/>
                  </w14:solidFill>
                </w14:textFill>
              </w:rPr>
            </w:pPr>
          </w:p>
        </w:tc>
        <w:tc>
          <w:tcPr>
            <w:tcW w:w="1586" w:type="pct"/>
            <w:vAlign w:val="center"/>
          </w:tcPr>
          <w:p>
            <w:pPr>
              <w:contextualSpacing/>
              <w:jc w:val="center"/>
              <w:rPr>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产生量</w:t>
            </w:r>
            <w:r>
              <w:rPr>
                <w:b/>
                <w:bCs/>
                <w:color w:val="000000" w:themeColor="text1"/>
                <w:szCs w:val="21"/>
                <w14:textFill>
                  <w14:solidFill>
                    <w14:schemeClr w14:val="tx1"/>
                  </w14:solidFill>
                </w14:textFill>
              </w:rPr>
              <w:t xml:space="preserve"> kg/</w:t>
            </w:r>
            <w:r>
              <w:rPr>
                <w:rFonts w:hint="eastAsia" w:ascii="宋体" w:hAnsi="宋体" w:cs="宋体"/>
                <w:b/>
                <w:bCs/>
                <w:color w:val="000000" w:themeColor="text1"/>
                <w:szCs w:val="21"/>
                <w14:textFill>
                  <w14:solidFill>
                    <w14:schemeClr w14:val="tx1"/>
                  </w14:solidFill>
                </w14:textFill>
              </w:rPr>
              <w:t>具遗体</w:t>
            </w:r>
          </w:p>
        </w:tc>
        <w:tc>
          <w:tcPr>
            <w:tcW w:w="2054" w:type="pct"/>
            <w:vAlign w:val="center"/>
          </w:tcPr>
          <w:p>
            <w:pPr>
              <w:contextualSpacing/>
              <w:jc w:val="center"/>
              <w:rPr>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产生量</w:t>
            </w:r>
            <w:r>
              <w:rPr>
                <w:b/>
                <w:bCs/>
                <w:color w:val="000000" w:themeColor="text1"/>
                <w:szCs w:val="21"/>
                <w14:textFill>
                  <w14:solidFill>
                    <w14:schemeClr w14:val="tx1"/>
                  </w14:solidFill>
                </w14:textFill>
              </w:rPr>
              <w:t xml:space="preserve"> kg/a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9280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0.029</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0.0336</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0.064</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360" w:type="pct"/>
            <w:vAlign w:val="center"/>
          </w:tcPr>
          <w:p>
            <w:pPr>
              <w:contextualSpacing/>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158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0.000074</w:t>
            </w:r>
          </w:p>
        </w:tc>
        <w:tc>
          <w:tcPr>
            <w:tcW w:w="2054"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0.2368</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本项目不设遗物、花圈焚烧炉，仅设</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台火化炉处理遗体。</w:t>
      </w:r>
      <w:r>
        <w:rPr>
          <w:rFonts w:hint="eastAsia" w:eastAsiaTheme="minorEastAsia"/>
          <w:color w:val="000000" w:themeColor="text1"/>
          <w:kern w:val="0"/>
          <w14:textFill>
            <w14:solidFill>
              <w14:schemeClr w14:val="tx1"/>
            </w14:solidFill>
          </w14:textFill>
        </w:rPr>
        <w:t>四台火化炉中，1#，2#火化炉烟气经各自烟道汇合至主烟道，通过第一套二次燃烧+急冷装置+布袋除尘+双碱水膜脱硫+活性炭喷射处理系统处理达标后，由1根离地15m的排气筒（1#排气筒）高空排放。3#，4#火化炉烟气经各自烟道汇合至主烟道，通过第二套二次燃烧+急冷装置+布袋除尘+双碱水膜脱硫+活性炭喷射处理系统处理达标后，由1根离地15m的排气筒（2#排气筒）高空排放。每台火化炉每日最多运行3小时，风机风量约4000m</w:t>
      </w:r>
      <w:r>
        <w:rPr>
          <w:rFonts w:hint="eastAsia" w:eastAsiaTheme="minorEastAsia"/>
          <w:color w:val="000000" w:themeColor="text1"/>
          <w:kern w:val="0"/>
          <w:vertAlign w:val="superscript"/>
          <w14:textFill>
            <w14:solidFill>
              <w14:schemeClr w14:val="tx1"/>
            </w14:solidFill>
          </w14:textFill>
        </w:rPr>
        <w:t>3</w:t>
      </w:r>
      <w:r>
        <w:rPr>
          <w:rFonts w:hint="eastAsia" w:eastAsiaTheme="minorEastAsia"/>
          <w:color w:val="000000" w:themeColor="text1"/>
          <w:kern w:val="0"/>
          <w14:textFill>
            <w14:solidFill>
              <w14:schemeClr w14:val="tx1"/>
            </w14:solidFill>
          </w14:textFill>
        </w:rPr>
        <w:t>/h，四台风机总风量达16000m</w:t>
      </w:r>
      <w:r>
        <w:rPr>
          <w:rFonts w:hint="eastAsia" w:eastAsiaTheme="minorEastAsia"/>
          <w:color w:val="000000" w:themeColor="text1"/>
          <w:kern w:val="0"/>
          <w:vertAlign w:val="superscript"/>
          <w14:textFill>
            <w14:solidFill>
              <w14:schemeClr w14:val="tx1"/>
            </w14:solidFill>
          </w14:textFill>
        </w:rPr>
        <w:t>3</w:t>
      </w:r>
      <w:r>
        <w:rPr>
          <w:rFonts w:hint="eastAsia" w:eastAsiaTheme="minorEastAsia"/>
          <w:color w:val="000000" w:themeColor="text1"/>
          <w:kern w:val="0"/>
          <w14:textFill>
            <w14:solidFill>
              <w14:schemeClr w14:val="tx1"/>
            </w14:solidFill>
          </w14:textFill>
        </w:rPr>
        <w:t>/h。急冷方式为雾化风冷方式，采用湿式双碱法脱硫塔脱硫脱硝，</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台火化炉废气</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产排情况情况见表3-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全厂</w:t>
      </w:r>
      <w:r>
        <w:rPr>
          <w:b/>
          <w:color w:val="000000" w:themeColor="text1"/>
          <w14:textFill>
            <w14:solidFill>
              <w14:schemeClr w14:val="tx1"/>
            </w14:solidFill>
          </w14:textFill>
        </w:rPr>
        <w:t>火化炉尾气排放情况</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1183"/>
        <w:gridCol w:w="1305"/>
        <w:gridCol w:w="658"/>
        <w:gridCol w:w="661"/>
        <w:gridCol w:w="1288"/>
        <w:gridCol w:w="1165"/>
        <w:gridCol w:w="11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513"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712"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产生浓度mg/m</w:t>
            </w:r>
            <w:r>
              <w:rPr>
                <w:b/>
                <w:bCs/>
                <w:color w:val="000000" w:themeColor="text1"/>
                <w:szCs w:val="21"/>
                <w:vertAlign w:val="superscript"/>
                <w14:textFill>
                  <w14:solidFill>
                    <w14:schemeClr w14:val="tx1"/>
                  </w14:solidFill>
                </w14:textFill>
              </w:rPr>
              <w:t>3</w:t>
            </w:r>
          </w:p>
        </w:tc>
        <w:tc>
          <w:tcPr>
            <w:tcW w:w="785"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396"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总风量m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/h</w:t>
            </w:r>
          </w:p>
        </w:tc>
        <w:tc>
          <w:tcPr>
            <w:tcW w:w="398"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处理效率</w:t>
            </w:r>
          </w:p>
        </w:tc>
        <w:tc>
          <w:tcPr>
            <w:tcW w:w="775"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701"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排放速率</w:t>
            </w: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（kg/h）</w:t>
            </w:r>
          </w:p>
        </w:tc>
        <w:tc>
          <w:tcPr>
            <w:tcW w:w="719" w:type="pct"/>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烟尘</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644.44</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9.28</w:t>
            </w:r>
          </w:p>
        </w:tc>
        <w:tc>
          <w:tcPr>
            <w:tcW w:w="396"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16000</w:t>
            </w: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0.094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6.44</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1.932</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0.028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7.431</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0.107</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r>
              <w:rPr>
                <w:rFonts w:hint="eastAsia"/>
                <w:color w:val="000000" w:themeColor="text1"/>
                <w:szCs w:val="21"/>
                <w14:textFill>
                  <w14:solidFill>
                    <w14:schemeClr w14:val="tx1"/>
                  </w14:solidFill>
                </w14:textFill>
              </w:rPr>
              <w:t>6</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0.055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14.236</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0.205</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5.69</w:t>
            </w:r>
            <w:r>
              <w:rPr>
                <w:rFonts w:hint="eastAsia"/>
                <w:color w:val="000000" w:themeColor="text1"/>
                <w:szCs w:val="21"/>
                <w14:textFill>
                  <w14:solidFill>
                    <w14:schemeClr w14:val="tx1"/>
                  </w14:solidFill>
                </w14:textFill>
              </w:rPr>
              <w:t>4</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0.083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6.25</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0.090</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w:t>
            </w:r>
            <w:r>
              <w:rPr>
                <w:rFonts w:hint="eastAsia"/>
                <w:color w:val="000000" w:themeColor="text1"/>
                <w:szCs w:val="21"/>
                <w14:textFill>
                  <w14:solidFill>
                    <w14:schemeClr w14:val="tx1"/>
                  </w14:solidFill>
                </w14:textFill>
              </w:rPr>
              <w:t>3</w:t>
            </w:r>
          </w:p>
        </w:tc>
        <w:tc>
          <w:tcPr>
            <w:tcW w:w="7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0.023 </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汞</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c>
          <w:tcPr>
            <w:tcW w:w="78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0.00024</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77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017</w:t>
            </w:r>
          </w:p>
        </w:tc>
        <w:tc>
          <w:tcPr>
            <w:tcW w:w="70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w:t>
            </w:r>
            <w:r>
              <w:rPr>
                <w:rFonts w:hint="eastAsia"/>
                <w:color w:val="000000" w:themeColor="text1"/>
                <w:szCs w:val="21"/>
                <w14:textFill>
                  <w14:solidFill>
                    <w14:schemeClr w14:val="tx1"/>
                  </w14:solidFill>
                </w14:textFill>
              </w:rPr>
              <w:t>4</w:t>
            </w:r>
          </w:p>
        </w:tc>
        <w:tc>
          <w:tcPr>
            <w:tcW w:w="7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3"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二噁英</w:t>
            </w:r>
          </w:p>
        </w:tc>
        <w:tc>
          <w:tcPr>
            <w:tcW w:w="71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4.1ngTEQ/m</w:t>
            </w:r>
            <w:r>
              <w:rPr>
                <w:color w:val="000000" w:themeColor="text1"/>
                <w:szCs w:val="21"/>
                <w:vertAlign w:val="superscript"/>
                <w14:textFill>
                  <w14:solidFill>
                    <w14:schemeClr w14:val="tx1"/>
                  </w14:solidFill>
                </w14:textFill>
              </w:rPr>
              <w:t>3</w:t>
            </w:r>
          </w:p>
        </w:tc>
        <w:tc>
          <w:tcPr>
            <w:tcW w:w="785"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59040</w:t>
            </w:r>
            <w:r>
              <w:rPr>
                <w:color w:val="000000" w:themeColor="text1"/>
                <w:kern w:val="0"/>
                <w:szCs w:val="21"/>
                <w14:textFill>
                  <w14:solidFill>
                    <w14:schemeClr w14:val="tx1"/>
                  </w14:solidFill>
                </w14:textFill>
              </w:rPr>
              <w:t>ugTEQ/a</w:t>
            </w:r>
          </w:p>
        </w:tc>
        <w:tc>
          <w:tcPr>
            <w:tcW w:w="396" w:type="pct"/>
            <w:vMerge w:val="continue"/>
            <w:vAlign w:val="center"/>
          </w:tcPr>
          <w:p>
            <w:pPr>
              <w:contextualSpacing/>
              <w:jc w:val="center"/>
              <w:rPr>
                <w:color w:val="000000" w:themeColor="text1"/>
                <w:szCs w:val="21"/>
                <w14:textFill>
                  <w14:solidFill>
                    <w14:schemeClr w14:val="tx1"/>
                  </w14:solidFill>
                </w14:textFill>
              </w:rPr>
            </w:pPr>
          </w:p>
        </w:tc>
        <w:tc>
          <w:tcPr>
            <w:tcW w:w="398"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775"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0.41ngTEQ/m</w:t>
            </w:r>
            <w:r>
              <w:rPr>
                <w:color w:val="000000" w:themeColor="text1"/>
                <w:szCs w:val="21"/>
                <w:vertAlign w:val="superscript"/>
                <w14:textFill>
                  <w14:solidFill>
                    <w14:schemeClr w14:val="tx1"/>
                  </w14:solidFill>
                </w14:textFill>
              </w:rPr>
              <w:t>3</w:t>
            </w:r>
          </w:p>
        </w:tc>
        <w:tc>
          <w:tcPr>
            <w:tcW w:w="701"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6.56ugTEQ/h</w:t>
            </w:r>
          </w:p>
        </w:tc>
        <w:tc>
          <w:tcPr>
            <w:tcW w:w="719"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5904ugTEQ/a</w:t>
            </w:r>
          </w:p>
        </w:tc>
      </w:tr>
    </w:tbl>
    <w:p>
      <w:pPr>
        <w:pStyle w:val="91"/>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由</w:t>
      </w:r>
      <w:r>
        <w:rPr>
          <w:rFonts w:hint="eastAsia"/>
          <w:snapToGrid w:val="0"/>
          <w:color w:val="000000" w:themeColor="text1"/>
          <w14:textFill>
            <w14:solidFill>
              <w14:schemeClr w14:val="tx1"/>
            </w14:solidFill>
          </w14:textFill>
        </w:rPr>
        <w:t>上表</w:t>
      </w:r>
      <w:r>
        <w:rPr>
          <w:snapToGrid w:val="0"/>
          <w:color w:val="000000" w:themeColor="text1"/>
          <w14:textFill>
            <w14:solidFill>
              <w14:schemeClr w14:val="tx1"/>
            </w14:solidFill>
          </w14:textFill>
        </w:rPr>
        <w:t>可知，火化炉尾气中各污染物排放浓度均低于《火葬场大气污染物排放标准》（GB13801-2015）中表 2 规定的大气污染物排放限值，能达到排放标准要求。</w:t>
      </w:r>
    </w:p>
    <w:p>
      <w:pPr>
        <w:pStyle w:val="91"/>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（3）食堂油烟</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项目内设有食堂，项目劳动定员</w:t>
      </w:r>
      <w:r>
        <w:rPr>
          <w:rFonts w:hint="eastAsia"/>
          <w:color w:val="000000" w:themeColor="text1"/>
          <w14:textFill>
            <w14:solidFill>
              <w14:schemeClr w14:val="tx1"/>
            </w14:solidFill>
          </w14:textFill>
        </w:rPr>
        <w:t>33</w:t>
      </w:r>
      <w:r>
        <w:rPr>
          <w:color w:val="000000" w:themeColor="text1"/>
          <w14:textFill>
            <w14:solidFill>
              <w14:schemeClr w14:val="tx1"/>
            </w14:solidFill>
          </w14:textFill>
        </w:rPr>
        <w:t>人，其中</w:t>
      </w:r>
      <w:r>
        <w:rPr>
          <w:rFonts w:hint="eastAsia"/>
          <w:color w:val="000000" w:themeColor="text1"/>
          <w14:textFill>
            <w14:solidFill>
              <w14:schemeClr w14:val="tx1"/>
            </w14:solidFill>
          </w14:textFill>
        </w:rPr>
        <w:t>6人于项目内食宿。</w:t>
      </w:r>
      <w:r>
        <w:rPr>
          <w:color w:val="000000" w:themeColor="text1"/>
          <w14:textFill>
            <w14:solidFill>
              <w14:schemeClr w14:val="tx1"/>
            </w14:solidFill>
          </w14:textFill>
        </w:rPr>
        <w:t>项目设</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个灶头进行烹饪活动，类比居民日常人均食用油日用量，本项目取50g/人·d，一般油烟挥发量占总耗油量的2-4%，本项目取平均值3%。则本项目油烟产生量约为</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g/d，</w:t>
      </w:r>
      <w:r>
        <w:rPr>
          <w:rFonts w:hint="eastAsia"/>
          <w:color w:val="000000" w:themeColor="text1"/>
          <w14:textFill>
            <w14:solidFill>
              <w14:schemeClr w14:val="tx1"/>
            </w14:solidFill>
          </w14:textFill>
        </w:rPr>
        <w:t>2.97</w:t>
      </w:r>
      <w:r>
        <w:rPr>
          <w:color w:val="000000" w:themeColor="text1"/>
          <w14:textFill>
            <w14:solidFill>
              <w14:schemeClr w14:val="tx1"/>
            </w14:solidFill>
          </w14:textFill>
        </w:rPr>
        <w:t>kg/a。每个灶头排风量为2000m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/h，年运行3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0天，备餐时间以3h/d计，则油烟产生浓度为</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速率为0.0</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kg/h。</w:t>
      </w:r>
    </w:p>
    <w:p>
      <w:pPr>
        <w:pStyle w:val="91"/>
        <w:ind w:firstLine="480"/>
        <w:rPr>
          <w:color w:val="000000" w:themeColor="text1"/>
          <w14:textFill>
            <w14:solidFill>
              <w14:schemeClr w14:val="tx1"/>
            </w14:solidFill>
          </w14:textFill>
        </w:rPr>
        <w:sectPr>
          <w:pgSz w:w="11907" w:h="16840"/>
          <w:pgMar w:top="1440" w:right="1800" w:bottom="1440" w:left="1800" w:header="1134" w:footer="567" w:gutter="0"/>
          <w:cols w:space="720" w:num="1"/>
          <w:docGrid w:type="lines" w:linePitch="286" w:charSpace="80"/>
        </w:sectPr>
      </w:pPr>
      <w:r>
        <w:rPr>
          <w:color w:val="000000" w:themeColor="text1"/>
          <w14:textFill>
            <w14:solidFill>
              <w14:schemeClr w14:val="tx1"/>
            </w14:solidFill>
          </w14:textFill>
        </w:rPr>
        <w:t>项目油烟用集风罩收集后，采用油烟净化器进行净化处理，油烟去除率不低于60%（按60%计），经处理后项目油烟排放量为1.188kg/a，排放浓度</w:t>
      </w:r>
      <w:r>
        <w:rPr>
          <w:rFonts w:hint="eastAsia"/>
          <w:color w:val="000000" w:themeColor="text1"/>
          <w14:textFill>
            <w14:solidFill>
              <w14:schemeClr w14:val="tx1"/>
            </w14:solidFill>
          </w14:textFill>
        </w:rPr>
        <w:t>0.6</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w:t>
      </w:r>
      <w:r>
        <w:rPr>
          <w:rFonts w:hint="eastAsia"/>
          <w:color w:val="000000" w:themeColor="text1"/>
          <w14:textFill>
            <w14:solidFill>
              <w14:schemeClr w14:val="tx1"/>
            </w14:solidFill>
          </w14:textFill>
        </w:rPr>
        <w:t>0.0012</w:t>
      </w:r>
      <w:r>
        <w:rPr>
          <w:color w:val="000000" w:themeColor="text1"/>
          <w14:textFill>
            <w14:solidFill>
              <w14:schemeClr w14:val="tx1"/>
            </w14:solidFill>
          </w14:textFill>
        </w:rPr>
        <w:t>kg/h，净化后的烟气屋顶排放，满足《饮食业油烟排放标准（试行）》（GB3096-2001）小型规模排放标准（最高允许排放浓度2.0 mg/Nm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6"/>
        <w:jc w:val="center"/>
        <w:rPr>
          <w:rFonts w:eastAsiaTheme="minorEastAsia"/>
          <w:color w:val="000000" w:themeColor="text1"/>
          <w:sz w:val="36"/>
          <w:szCs w:val="36"/>
          <w14:textFill>
            <w14:solidFill>
              <w14:schemeClr w14:val="tx1"/>
            </w14:solidFill>
          </w14:textFill>
        </w:rPr>
      </w:pPr>
      <w:r>
        <w:rPr>
          <w:rFonts w:eastAsiaTheme="minorEastAsia"/>
          <w:color w:val="000000" w:themeColor="text1"/>
          <w:sz w:val="36"/>
          <w:szCs w:val="36"/>
          <w14:textFill>
            <w14:solidFill>
              <w14:schemeClr w14:val="tx1"/>
            </w14:solidFill>
          </w14:textFill>
        </w:rPr>
        <w:t>4、大气环境影响分析</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项目所在地气象特征分析</w:t>
      </w:r>
    </w:p>
    <w:p>
      <w:pPr>
        <w:pStyle w:val="91"/>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表4.1-1  年均风频统计表</w:t>
      </w:r>
    </w:p>
    <w:tbl>
      <w:tblPr>
        <w:tblStyle w:val="28"/>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477"/>
        <w:gridCol w:w="1477"/>
        <w:gridCol w:w="1477"/>
        <w:gridCol w:w="1479"/>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69" w:type="pct"/>
            <w:vMerge w:val="restar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类别</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春</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夏</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秋</w:t>
            </w:r>
          </w:p>
        </w:tc>
        <w:tc>
          <w:tcPr>
            <w:tcW w:w="867"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冬</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69" w:type="pct"/>
            <w:vMerge w:val="continue"/>
            <w:vAlign w:val="center"/>
          </w:tcPr>
          <w:p>
            <w:pPr>
              <w:contextualSpacing/>
              <w:jc w:val="center"/>
              <w:rPr>
                <w:b/>
                <w:color w:val="000000" w:themeColor="text1"/>
                <w:spacing w:val="6"/>
                <w:szCs w:val="21"/>
                <w14:textFill>
                  <w14:solidFill>
                    <w14:schemeClr w14:val="tx1"/>
                  </w14:solidFill>
                </w14:textFill>
              </w:rPr>
            </w:pP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风频（%）</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风频（%）</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风频（%）</w:t>
            </w:r>
          </w:p>
        </w:tc>
        <w:tc>
          <w:tcPr>
            <w:tcW w:w="867"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风频（%）</w:t>
            </w:r>
          </w:p>
        </w:tc>
        <w:tc>
          <w:tcPr>
            <w:tcW w:w="866" w:type="pct"/>
            <w:vAlign w:val="center"/>
          </w:tcPr>
          <w:p>
            <w:pPr>
              <w:contextualSpacing/>
              <w:jc w:val="center"/>
              <w:rPr>
                <w:b/>
                <w:color w:val="000000" w:themeColor="text1"/>
                <w:spacing w:val="6"/>
                <w:szCs w:val="21"/>
                <w14:textFill>
                  <w14:solidFill>
                    <w14:schemeClr w14:val="tx1"/>
                  </w14:solidFill>
                </w14:textFill>
              </w:rPr>
            </w:pPr>
            <w:r>
              <w:rPr>
                <w:b/>
                <w:color w:val="000000" w:themeColor="text1"/>
                <w:spacing w:val="6"/>
                <w:szCs w:val="21"/>
                <w14:textFill>
                  <w14:solidFill>
                    <w14:schemeClr w14:val="tx1"/>
                  </w14:solidFill>
                </w14:textFill>
              </w:rPr>
              <w:t>风频（%）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N</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2.15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2.42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3.02</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NNE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6.19</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3.39</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4.25</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6.88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NE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31.8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11.46</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25.42</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37.35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26.46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ENE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1.81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3.25</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4.47</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0.73</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ESE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0.12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0.48</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0.12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1.81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0.36</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0.25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SSE</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1.25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1.32</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1.32</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0.25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3.01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6.75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3.02</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1.58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SSW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1.48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2.3</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1.07</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4.11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9.78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5.69</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2.79</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WSW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6.08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7.03</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6.26</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6.28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6.88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11.84</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9.42</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7.64</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8.95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WNW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0.86</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0.97</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0.61</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0.49</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NW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0.24</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1.45</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1.8</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NNW</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0.51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0.61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0.24</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0.48</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C</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32.44</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36.34</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33.06</w:t>
            </w:r>
          </w:p>
        </w:tc>
        <w:tc>
          <w:tcPr>
            <w:tcW w:w="867"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29.01</w:t>
            </w:r>
          </w:p>
        </w:tc>
        <w:tc>
          <w:tcPr>
            <w:tcW w:w="866" w:type="pct"/>
            <w:vAlign w:val="center"/>
          </w:tcPr>
          <w:p>
            <w:pPr>
              <w:contextualSpacing/>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32.72</w:t>
            </w:r>
          </w:p>
        </w:tc>
      </w:tr>
    </w:tbl>
    <w:p>
      <w:pPr>
        <w:pStyle w:val="91"/>
        <w:spacing w:before="143" w:beforeLines="50" w:line="240" w:lineRule="auto"/>
        <w:ind w:firstLine="0" w:firstLineChars="0"/>
        <w:jc w:val="center"/>
        <w:rPr>
          <w:b/>
          <w:color w:val="000000" w:themeColor="text1"/>
          <w14:textFill>
            <w14:solidFill>
              <w14:schemeClr w14:val="tx1"/>
            </w14:solidFill>
          </w14:textFill>
        </w:rPr>
        <w:sectPr>
          <w:pgSz w:w="11907" w:h="16840"/>
          <w:pgMar w:top="1440" w:right="1797" w:bottom="1440" w:left="1797" w:header="1134" w:footer="567" w:gutter="0"/>
          <w:cols w:space="720" w:num="1"/>
          <w:docGrid w:type="lines" w:linePitch="286" w:charSpace="80"/>
        </w:sectPr>
      </w:pPr>
    </w:p>
    <w:p>
      <w:pPr>
        <w:pStyle w:val="91"/>
        <w:spacing w:line="240" w:lineRule="auto"/>
        <w:ind w:firstLine="0" w:firstLineChars="0"/>
        <w:jc w:val="center"/>
        <w:rPr>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4629150" cy="5105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l="-598" t="3078"/>
                    <a:stretch>
                      <a:fillRect/>
                    </a:stretch>
                  </pic:blipFill>
                  <pic:spPr>
                    <a:xfrm>
                      <a:off x="0" y="0"/>
                      <a:ext cx="4629150" cy="5105400"/>
                    </a:xfrm>
                    <a:prstGeom prst="rect">
                      <a:avLst/>
                    </a:prstGeom>
                    <a:noFill/>
                    <a:ln>
                      <a:noFill/>
                    </a:ln>
                  </pic:spPr>
                </pic:pic>
              </a:graphicData>
            </a:graphic>
          </wp:inline>
        </w:drawing>
      </w:r>
    </w:p>
    <w:p>
      <w:pPr>
        <w:pStyle w:val="91"/>
        <w:spacing w:line="240" w:lineRule="auto"/>
        <w:ind w:firstLine="0" w:firstLineChars="0"/>
        <w:jc w:val="center"/>
        <w:rPr>
          <w:b/>
          <w:bCs/>
          <w:color w:val="000000" w:themeColor="text1"/>
          <w14:textFill>
            <w14:solidFill>
              <w14:schemeClr w14:val="tx1"/>
            </w14:solidFill>
          </w14:textFill>
        </w:rPr>
      </w:pPr>
      <w:r>
        <w:rPr>
          <w:b/>
          <w:color w:val="000000" w:themeColor="text1"/>
          <w14:textFill>
            <w14:solidFill>
              <w14:schemeClr w14:val="tx1"/>
            </w14:solidFill>
          </w14:textFill>
        </w:rPr>
        <w:t>图</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-1  </w:t>
      </w:r>
      <w:r>
        <w:rPr>
          <w:rFonts w:hint="eastAsia"/>
          <w:b/>
          <w:bCs/>
          <w:color w:val="000000" w:themeColor="text1"/>
          <w14:textFill>
            <w14:solidFill>
              <w14:schemeClr w14:val="tx1"/>
            </w14:solidFill>
          </w14:textFill>
        </w:rPr>
        <w:t>南康区</w:t>
      </w:r>
      <w:r>
        <w:rPr>
          <w:b/>
          <w:bCs/>
          <w:color w:val="000000" w:themeColor="text1"/>
          <w14:textFill>
            <w14:solidFill>
              <w14:schemeClr w14:val="tx1"/>
            </w14:solidFill>
          </w14:textFill>
        </w:rPr>
        <w:t>风频玫瑰图</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项目所在地年平均风速为2.32m/s。十一月平均风速最大，为2.54m/s，八月平均风速最小，为2.07m/s。</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4686300" cy="5314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t="2901"/>
                    <a:stretch>
                      <a:fillRect/>
                    </a:stretch>
                  </pic:blipFill>
                  <pic:spPr>
                    <a:xfrm>
                      <a:off x="0" y="0"/>
                      <a:ext cx="4686300" cy="5314950"/>
                    </a:xfrm>
                    <a:prstGeom prst="rect">
                      <a:avLst/>
                    </a:prstGeom>
                    <a:noFill/>
                    <a:ln>
                      <a:noFill/>
                    </a:ln>
                  </pic:spPr>
                </pic:pic>
              </a:graphicData>
            </a:graphic>
          </wp:inline>
        </w:drawing>
      </w:r>
    </w:p>
    <w:p>
      <w:pPr>
        <w:snapToGrid w:val="0"/>
        <w:jc w:val="cente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图4-2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风速玫瑰图</w:t>
      </w:r>
    </w:p>
    <w:p>
      <w:pPr>
        <w:pStyle w:val="91"/>
        <w:spacing w:line="240" w:lineRule="auto"/>
        <w:ind w:firstLine="0" w:firstLineChars="0"/>
        <w:jc w:val="center"/>
        <w:rPr>
          <w:b/>
          <w:bCs/>
          <w:color w:val="000000" w:themeColor="text1"/>
          <w14:textFill>
            <w14:solidFill>
              <w14:schemeClr w14:val="tx1"/>
            </w14:solidFill>
          </w14:textFill>
        </w:rPr>
        <w:sectPr>
          <w:pgSz w:w="11907" w:h="16840"/>
          <w:pgMar w:top="1440" w:right="1797" w:bottom="1440" w:left="1797" w:header="1134" w:footer="567" w:gutter="0"/>
          <w:cols w:space="720" w:num="1"/>
          <w:docGrid w:type="lines" w:linePitch="286" w:charSpace="80"/>
        </w:sectPr>
      </w:pP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4.2 大气环境影响预测</w:t>
      </w:r>
    </w:p>
    <w:p>
      <w:pPr>
        <w:pStyle w:val="91"/>
        <w:ind w:firstLine="480"/>
        <w:rPr>
          <w:color w:val="000000" w:themeColor="text1"/>
          <w:kern w:val="0"/>
          <w:szCs w:val="20"/>
          <w14:textFill>
            <w14:solidFill>
              <w14:schemeClr w14:val="tx1"/>
            </w14:solidFill>
          </w14:textFill>
        </w:rPr>
      </w:pPr>
      <w:r>
        <w:rPr>
          <w:color w:val="000000" w:themeColor="text1"/>
          <w14:textFill>
            <w14:solidFill>
              <w14:schemeClr w14:val="tx1"/>
            </w14:solidFill>
          </w14:textFill>
        </w:rPr>
        <w:t>本项目有组织废气主要为</w:t>
      </w:r>
      <w:r>
        <w:rPr>
          <w:rFonts w:hint="eastAsia"/>
          <w:color w:val="000000" w:themeColor="text1"/>
          <w14:textFill>
            <w14:solidFill>
              <w14:schemeClr w14:val="tx1"/>
            </w14:solidFill>
          </w14:textFill>
        </w:rPr>
        <w:t>火化炉焚烧烟气，厂内有2根排气筒，1#排气筒收集1#、2#火化炉废气，2#排气筒收集3#、4#火化炉废气</w:t>
      </w:r>
      <w:r>
        <w:rPr>
          <w:color w:val="000000" w:themeColor="text1"/>
          <w14:textFill>
            <w14:solidFill>
              <w14:schemeClr w14:val="tx1"/>
            </w14:solidFill>
          </w14:textFill>
        </w:rPr>
        <w:t>。根据</w:t>
      </w:r>
      <w:r>
        <w:rPr>
          <w:color w:val="000000" w:themeColor="text1"/>
          <w:kern w:val="0"/>
          <w:szCs w:val="20"/>
          <w14:textFill>
            <w14:solidFill>
              <w14:schemeClr w14:val="tx1"/>
            </w14:solidFill>
          </w14:textFill>
        </w:rPr>
        <w:t>《环境影响评价技术导则 大气环境》的要求，结合项目工程分析结果，选择正常排放的主要污染物及排放参数，采用附录A推荐模型中的AERSCREEN 模式计算项目污染源的最大环境影响，然后按评价工作分级判据进行分级。</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4.2.1 </w:t>
      </w:r>
      <w:r>
        <w:rPr>
          <w:color w:val="000000" w:themeColor="text1"/>
          <w14:textFill>
            <w14:solidFill>
              <w14:schemeClr w14:val="tx1"/>
            </w14:solidFill>
          </w14:textFill>
        </w:rPr>
        <w:t>废气污染源排放参数</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r>
        <w:rPr>
          <w:color w:val="000000" w:themeColor="text1"/>
          <w14:textFill>
            <w14:solidFill>
              <w14:schemeClr w14:val="tx1"/>
            </w14:solidFill>
          </w14:textFill>
        </w:rPr>
        <w:t>废气污染源排放参数见表</w:t>
      </w:r>
      <w:r>
        <w:rPr>
          <w:rFonts w:hint="eastAsia"/>
          <w:color w:val="000000" w:themeColor="text1"/>
          <w14:textFill>
            <w14:solidFill>
              <w14:schemeClr w14:val="tx1"/>
            </w14:solidFill>
          </w14:textFill>
        </w:rPr>
        <w:t>4-5。</w:t>
      </w:r>
    </w:p>
    <w:p>
      <w:pPr>
        <w:pStyle w:val="91"/>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4-5有组织</w:t>
      </w:r>
      <w:r>
        <w:rPr>
          <w:b/>
          <w:color w:val="000000" w:themeColor="text1"/>
          <w:szCs w:val="21"/>
          <w14:textFill>
            <w14:solidFill>
              <w14:schemeClr w14:val="tx1"/>
            </w14:solidFill>
          </w14:textFill>
        </w:rPr>
        <w:t>废气污染源参数一览表（点源）</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077"/>
        <w:gridCol w:w="617"/>
        <w:gridCol w:w="890"/>
        <w:gridCol w:w="838"/>
        <w:gridCol w:w="1058"/>
        <w:gridCol w:w="1463"/>
        <w:gridCol w:w="644"/>
        <w:gridCol w:w="1028"/>
        <w:gridCol w:w="122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restar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2751" w:type="pct"/>
            <w:gridSpan w:val="5"/>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排气筒参数</w:t>
            </w:r>
          </w:p>
        </w:tc>
        <w:tc>
          <w:tcPr>
            <w:tcW w:w="364" w:type="pct"/>
            <w:vMerge w:val="restar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排放工况</w:t>
            </w:r>
          </w:p>
        </w:tc>
        <w:tc>
          <w:tcPr>
            <w:tcW w:w="581" w:type="pct"/>
            <w:vMerge w:val="restar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污染物名称</w:t>
            </w:r>
          </w:p>
        </w:tc>
        <w:tc>
          <w:tcPr>
            <w:tcW w:w="695" w:type="pct"/>
            <w:vMerge w:val="restar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排放速率 kg/h</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b/>
                <w:color w:val="000000" w:themeColor="text1"/>
                <w:sz w:val="21"/>
                <w:szCs w:val="21"/>
                <w14:textFill>
                  <w14:solidFill>
                    <w14:schemeClr w14:val="tx1"/>
                  </w14:solidFill>
                </w14:textFill>
              </w:rPr>
            </w:pPr>
          </w:p>
        </w:tc>
        <w:tc>
          <w:tcPr>
            <w:tcW w:w="349"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高度</w:t>
            </w:r>
          </w:p>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w:t>
            </w:r>
          </w:p>
        </w:tc>
        <w:tc>
          <w:tcPr>
            <w:tcW w:w="503"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内径</w:t>
            </w:r>
          </w:p>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w:t>
            </w:r>
          </w:p>
        </w:tc>
        <w:tc>
          <w:tcPr>
            <w:tcW w:w="474"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温度</w:t>
            </w:r>
          </w:p>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c>
          <w:tcPr>
            <w:tcW w:w="598"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风量/m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/h</w:t>
            </w:r>
          </w:p>
        </w:tc>
        <w:tc>
          <w:tcPr>
            <w:tcW w:w="82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年排放小时数/h</w:t>
            </w:r>
          </w:p>
        </w:tc>
        <w:tc>
          <w:tcPr>
            <w:tcW w:w="364" w:type="pct"/>
            <w:vMerge w:val="continue"/>
            <w:vAlign w:val="center"/>
          </w:tcPr>
          <w:p>
            <w:pPr>
              <w:pStyle w:val="91"/>
              <w:adjustRightInd/>
              <w:snapToGrid/>
              <w:spacing w:line="240" w:lineRule="auto"/>
              <w:ind w:firstLine="0" w:firstLineChars="0"/>
              <w:contextualSpacing/>
              <w:jc w:val="center"/>
              <w:rPr>
                <w:b/>
                <w:color w:val="000000" w:themeColor="text1"/>
                <w:sz w:val="21"/>
                <w:szCs w:val="21"/>
                <w14:textFill>
                  <w14:solidFill>
                    <w14:schemeClr w14:val="tx1"/>
                  </w14:solidFill>
                </w14:textFill>
              </w:rPr>
            </w:pPr>
          </w:p>
        </w:tc>
        <w:tc>
          <w:tcPr>
            <w:tcW w:w="581" w:type="pct"/>
            <w:vMerge w:val="continue"/>
            <w:vAlign w:val="center"/>
          </w:tcPr>
          <w:p>
            <w:pPr>
              <w:pStyle w:val="91"/>
              <w:adjustRightInd/>
              <w:snapToGrid/>
              <w:spacing w:line="240" w:lineRule="auto"/>
              <w:ind w:firstLine="0" w:firstLineChars="0"/>
              <w:contextualSpacing/>
              <w:jc w:val="center"/>
              <w:rPr>
                <w:b/>
                <w:color w:val="000000" w:themeColor="text1"/>
                <w:sz w:val="21"/>
                <w:szCs w:val="21"/>
                <w14:textFill>
                  <w14:solidFill>
                    <w14:schemeClr w14:val="tx1"/>
                  </w14:solidFill>
                </w14:textFill>
              </w:rPr>
            </w:pPr>
          </w:p>
        </w:tc>
        <w:tc>
          <w:tcPr>
            <w:tcW w:w="695" w:type="pct"/>
            <w:vMerge w:val="continue"/>
            <w:vAlign w:val="center"/>
          </w:tcPr>
          <w:p>
            <w:pPr>
              <w:pStyle w:val="91"/>
              <w:adjustRightInd/>
              <w:snapToGrid/>
              <w:spacing w:line="240" w:lineRule="auto"/>
              <w:ind w:firstLine="0" w:firstLineChars="0"/>
              <w:contextualSpacing/>
              <w:jc w:val="center"/>
              <w:rPr>
                <w:b/>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火化炉焚烧废气（H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tc>
        <w:tc>
          <w:tcPr>
            <w:tcW w:w="34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03"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474"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598"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c>
          <w:tcPr>
            <w:tcW w:w="827"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990</w:t>
            </w:r>
          </w:p>
        </w:tc>
        <w:tc>
          <w:tcPr>
            <w:tcW w:w="364"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正常</w:t>
            </w: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695"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3.28ugTEQ/h</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火化炉焚烧废气（H</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排气筒）</w:t>
            </w:r>
          </w:p>
        </w:tc>
        <w:tc>
          <w:tcPr>
            <w:tcW w:w="34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03"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474"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598"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c>
          <w:tcPr>
            <w:tcW w:w="827"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990</w:t>
            </w:r>
          </w:p>
        </w:tc>
        <w:tc>
          <w:tcPr>
            <w:tcW w:w="364"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正常</w:t>
            </w: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695"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60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4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0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47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98"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8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364"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81"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695"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3.28ugTEQ/h</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排气筒高度及其说明：根据现场踏勘情况，本项目所处区域地势较高，居民点为农村地区，无20m以上建筑，在保证本项目排气筒15m高的前提下，能够满足排气筒高于周边200m范围内建筑物3m要求。</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4.2.2 </w:t>
      </w:r>
      <w:r>
        <w:rPr>
          <w:color w:val="000000" w:themeColor="text1"/>
          <w14:textFill>
            <w14:solidFill>
              <w14:schemeClr w14:val="tx1"/>
            </w14:solidFill>
          </w14:textFill>
        </w:rPr>
        <w:t>估算模型参数</w:t>
      </w:r>
    </w:p>
    <w:p>
      <w:pPr>
        <w:pStyle w:val="91"/>
        <w:ind w:firstLine="480"/>
        <w:rPr>
          <w:color w:val="000000" w:themeColor="text1"/>
          <w:kern w:val="0"/>
          <w:szCs w:val="20"/>
          <w14:textFill>
            <w14:solidFill>
              <w14:schemeClr w14:val="tx1"/>
            </w14:solidFill>
          </w14:textFill>
        </w:rPr>
      </w:pPr>
      <w:r>
        <w:rPr>
          <w:color w:val="000000" w:themeColor="text1"/>
          <w:kern w:val="0"/>
          <w:szCs w:val="20"/>
          <w14:textFill>
            <w14:solidFill>
              <w14:schemeClr w14:val="tx1"/>
            </w14:solidFill>
          </w14:textFill>
        </w:rPr>
        <w:t>本次评价选用的估算模型参数详见表</w:t>
      </w:r>
      <w:r>
        <w:rPr>
          <w:rFonts w:hint="eastAsia"/>
          <w:color w:val="000000" w:themeColor="text1"/>
          <w:kern w:val="0"/>
          <w:szCs w:val="20"/>
          <w14:textFill>
            <w14:solidFill>
              <w14:schemeClr w14:val="tx1"/>
            </w14:solidFill>
          </w14:textFill>
        </w:rPr>
        <w:t>4-6</w:t>
      </w:r>
      <w:r>
        <w:rPr>
          <w:color w:val="000000" w:themeColor="text1"/>
          <w:kern w:val="0"/>
          <w:szCs w:val="20"/>
          <w14:textFill>
            <w14:solidFill>
              <w14:schemeClr w14:val="tx1"/>
            </w14:solidFill>
          </w14:textFill>
        </w:rPr>
        <w:t>。</w:t>
      </w:r>
    </w:p>
    <w:p>
      <w:pPr>
        <w:pStyle w:val="91"/>
        <w:spacing w:line="240" w:lineRule="auto"/>
        <w:ind w:firstLine="0" w:firstLineChars="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14:textFill>
            <w14:solidFill>
              <w14:schemeClr w14:val="tx1"/>
            </w14:solidFill>
          </w14:textFill>
        </w:rPr>
        <w:t>4-6</w:t>
      </w:r>
      <w:r>
        <w:rPr>
          <w:b/>
          <w:color w:val="000000" w:themeColor="text1"/>
          <w:kern w:val="0"/>
          <w:szCs w:val="21"/>
          <w14:textFill>
            <w14:solidFill>
              <w14:schemeClr w14:val="tx1"/>
            </w14:solidFill>
          </w14:textFill>
        </w:rPr>
        <w:t xml:space="preserve"> 估算模型参数表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8"/>
        <w:gridCol w:w="3352"/>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4" w:type="pct"/>
            <w:gridSpan w:val="2"/>
            <w:vAlign w:val="center"/>
          </w:tcPr>
          <w:p>
            <w:pPr>
              <w:pStyle w:val="91"/>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参数</w:t>
            </w:r>
          </w:p>
        </w:tc>
        <w:tc>
          <w:tcPr>
            <w:tcW w:w="1766" w:type="pct"/>
            <w:vAlign w:val="center"/>
          </w:tcPr>
          <w:p>
            <w:pPr>
              <w:pStyle w:val="91"/>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vMerge w:val="restar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城市/农村选项</w:t>
            </w: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城市/农村</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384" w:type="pct"/>
            <w:vMerge w:val="continue"/>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人口数（城市选项时）</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4" w:type="pct"/>
            <w:gridSpan w:val="2"/>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最高环境温度/℃</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4" w:type="pct"/>
            <w:gridSpan w:val="2"/>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最低环境温度/℃</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4" w:type="pct"/>
            <w:gridSpan w:val="2"/>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土地利用类型</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建设用地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4" w:type="pct"/>
            <w:gridSpan w:val="2"/>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区域湿度条件</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潮湿气候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vMerge w:val="restar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是否考虑地形</w:t>
            </w: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考虑地形</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384" w:type="pct"/>
            <w:vMerge w:val="continue"/>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地形数据分辨率/m</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vMerge w:val="restar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是否考虑海岸线熏烟</w:t>
            </w: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考虑海岸线熏烟</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vMerge w:val="continue"/>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岸线距离/km</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vMerge w:val="continue"/>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p>
        </w:tc>
        <w:tc>
          <w:tcPr>
            <w:tcW w:w="1850"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岸线方向/°</w:t>
            </w:r>
          </w:p>
        </w:tc>
        <w:tc>
          <w:tcPr>
            <w:tcW w:w="1766" w:type="pct"/>
            <w:vAlign w:val="center"/>
          </w:tcPr>
          <w:p>
            <w:pPr>
              <w:pStyle w:val="91"/>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bl>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4.2.3</w:t>
      </w:r>
      <w:r>
        <w:rPr>
          <w:color w:val="000000" w:themeColor="text1"/>
          <w14:textFill>
            <w14:solidFill>
              <w14:schemeClr w14:val="tx1"/>
            </w14:solidFill>
          </w14:textFill>
        </w:rPr>
        <w:t>估算结果</w:t>
      </w:r>
    </w:p>
    <w:p>
      <w:pPr>
        <w:pStyle w:val="91"/>
        <w:ind w:firstLine="480"/>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（1）正常排放</w:t>
      </w:r>
    </w:p>
    <w:p>
      <w:pPr>
        <w:pStyle w:val="91"/>
        <w:ind w:firstLine="480"/>
        <w:rPr>
          <w:color w:val="000000" w:themeColor="text1"/>
          <w:kern w:val="0"/>
          <w:szCs w:val="20"/>
          <w14:textFill>
            <w14:solidFill>
              <w14:schemeClr w14:val="tx1"/>
            </w14:solidFill>
          </w14:textFill>
        </w:rPr>
      </w:pPr>
      <w:r>
        <w:rPr>
          <w:color w:val="000000" w:themeColor="text1"/>
          <w:kern w:val="0"/>
          <w:szCs w:val="20"/>
          <w14:textFill>
            <w14:solidFill>
              <w14:schemeClr w14:val="tx1"/>
            </w14:solidFill>
          </w14:textFill>
        </w:rPr>
        <w:t>采用AERSCREEN模型进行估算的计算结果见表</w:t>
      </w:r>
      <w:r>
        <w:rPr>
          <w:rFonts w:hint="eastAsia"/>
          <w:color w:val="000000" w:themeColor="text1"/>
          <w:kern w:val="0"/>
          <w:szCs w:val="20"/>
          <w14:textFill>
            <w14:solidFill>
              <w14:schemeClr w14:val="tx1"/>
            </w14:solidFill>
          </w14:textFill>
        </w:rPr>
        <w:t>4-7</w:t>
      </w:r>
      <w:r>
        <w:rPr>
          <w:color w:val="000000" w:themeColor="text1"/>
          <w:kern w:val="0"/>
          <w:szCs w:val="20"/>
          <w14:textFill>
            <w14:solidFill>
              <w14:schemeClr w14:val="tx1"/>
            </w14:solidFill>
          </w14:textFill>
        </w:rPr>
        <w:t>。</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 xml:space="preserve">4-7 </w:t>
      </w:r>
      <w:r>
        <w:rPr>
          <w:b/>
          <w:bCs/>
          <w:color w:val="000000" w:themeColor="text1"/>
          <w:szCs w:val="21"/>
          <w14:textFill>
            <w14:solidFill>
              <w14:schemeClr w14:val="tx1"/>
            </w14:solidFill>
          </w14:textFill>
        </w:rPr>
        <w:t>预测结果一览表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72"/>
        <w:gridCol w:w="1182"/>
        <w:gridCol w:w="1427"/>
        <w:gridCol w:w="1710"/>
        <w:gridCol w:w="1427"/>
        <w:gridCol w:w="14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668"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评价因子</w:t>
            </w:r>
          </w:p>
        </w:tc>
        <w:tc>
          <w:tcPr>
            <w:tcW w:w="80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评价标准(mg/m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6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80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P</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w:t>
            </w:r>
          </w:p>
        </w:tc>
        <w:tc>
          <w:tcPr>
            <w:tcW w:w="806"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（点源）</w:t>
            </w: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3.59E-02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3.98</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1.61E-03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0.00E+00</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1.39</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二噁英</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0.6pgTEQ/m</w:t>
            </w:r>
            <w:r>
              <w:rPr>
                <w:color w:val="000000" w:themeColor="text1"/>
                <w:sz w:val="21"/>
                <w:szCs w:val="21"/>
                <w:vertAlign w:val="superscript"/>
                <w14:textFill>
                  <w14:solidFill>
                    <w14:schemeClr w14:val="tx1"/>
                  </w14:solidFill>
                </w14:textFill>
              </w:rPr>
              <w:t>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426</w:t>
            </w:r>
            <w:r>
              <w:rPr>
                <w:color w:val="000000" w:themeColor="text1"/>
                <w:sz w:val="21"/>
                <w:szCs w:val="21"/>
                <w14:textFill>
                  <w14:solidFill>
                    <w14:schemeClr w14:val="tx1"/>
                  </w14:solidFill>
                </w14:textFill>
              </w:rPr>
              <w:t>pgTEQ/m</w:t>
            </w:r>
            <w:r>
              <w:rPr>
                <w:color w:val="000000" w:themeColor="text1"/>
                <w:sz w:val="21"/>
                <w:szCs w:val="21"/>
                <w:vertAlign w:val="superscript"/>
                <w14:textFill>
                  <w14:solidFill>
                    <w14:schemeClr w14:val="tx1"/>
                  </w14:solidFill>
                </w14:textFill>
              </w:rPr>
              <w:t>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7.2</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7.50E-07</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0.25</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排气筒</w:t>
            </w:r>
          </w:p>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（点源）</w:t>
            </w: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3.59E-02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3.98</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1.61E-03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0.00E+00</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6.96E-04</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1.39</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二噁英</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0.6pgTEQ/m</w:t>
            </w:r>
            <w:r>
              <w:rPr>
                <w:color w:val="000000" w:themeColor="text1"/>
                <w:sz w:val="21"/>
                <w:szCs w:val="21"/>
                <w:vertAlign w:val="superscript"/>
                <w14:textFill>
                  <w14:solidFill>
                    <w14:schemeClr w14:val="tx1"/>
                  </w14:solidFill>
                </w14:textFill>
              </w:rPr>
              <w:t>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426</w:t>
            </w:r>
            <w:r>
              <w:rPr>
                <w:color w:val="000000" w:themeColor="text1"/>
                <w:sz w:val="21"/>
                <w:szCs w:val="21"/>
                <w14:textFill>
                  <w14:solidFill>
                    <w14:schemeClr w14:val="tx1"/>
                  </w14:solidFill>
                </w14:textFill>
              </w:rPr>
              <w:t>pgTEQ/m</w:t>
            </w:r>
            <w:r>
              <w:rPr>
                <w:color w:val="000000" w:themeColor="text1"/>
                <w:sz w:val="21"/>
                <w:szCs w:val="21"/>
                <w:vertAlign w:val="superscript"/>
                <w14:textFill>
                  <w14:solidFill>
                    <w14:schemeClr w14:val="tx1"/>
                  </w14:solidFill>
                </w14:textFill>
              </w:rPr>
              <w:t>3</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7.2</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5"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668"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96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7.50E-07</w:t>
            </w:r>
          </w:p>
        </w:tc>
        <w:tc>
          <w:tcPr>
            <w:tcW w:w="80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0.25</w:t>
            </w:r>
          </w:p>
        </w:tc>
        <w:tc>
          <w:tcPr>
            <w:tcW w:w="80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由预测结果可知，正常工况下：</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本项目有组织废气中烟尘最大落地浓度值3.59E-02mg/m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3.98</w:t>
      </w:r>
      <w:r>
        <w:rPr>
          <w:color w:val="000000" w:themeColor="text1"/>
          <w14:textFill>
            <w14:solidFill>
              <w14:schemeClr w14:val="tx1"/>
            </w14:solidFill>
          </w14:textFill>
        </w:rPr>
        <w:t>%，NOx最大落地浓度值1.61E-03mg/m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0.17</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最大落地浓度值8.56E-04mg/m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，占标率0.</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%，以上三类污染物均低于</w:t>
      </w:r>
      <w:r>
        <w:rPr>
          <w:rFonts w:hint="eastAsia"/>
          <w:color w:val="000000" w:themeColor="text1"/>
          <w14:textFill>
            <w14:solidFill>
              <w14:schemeClr w14:val="tx1"/>
            </w14:solidFill>
          </w14:textFill>
        </w:rPr>
        <w:t>《环境空气质量标准》（GB3095-2012）中的二级标准限值。</w:t>
      </w:r>
      <w:r>
        <w:rPr>
          <w:color w:val="000000" w:themeColor="text1"/>
          <w14:textFill>
            <w14:solidFill>
              <w14:schemeClr w14:val="tx1"/>
            </w14:solidFill>
          </w14:textFill>
        </w:rPr>
        <w:t>HCl最大落地浓度值6.96E-04mg/m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，占标率1.</w:t>
      </w:r>
      <w:r>
        <w:rPr>
          <w:rFonts w:hint="eastAsia"/>
          <w:color w:val="000000" w:themeColor="text1"/>
          <w14:textFill>
            <w14:solidFill>
              <w14:schemeClr w14:val="tx1"/>
            </w14:solidFill>
          </w14:textFill>
        </w:rPr>
        <w:t>39</w:t>
      </w:r>
      <w:r>
        <w:rPr>
          <w:color w:val="000000" w:themeColor="text1"/>
          <w14:textFill>
            <w14:solidFill>
              <w14:schemeClr w14:val="tx1"/>
            </w14:solidFill>
          </w14:textFill>
        </w:rPr>
        <w:t>%，CO最大落地浓度值0.00E+00mg/m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0.00</w:t>
      </w:r>
      <w:r>
        <w:rPr>
          <w:color w:val="000000" w:themeColor="text1"/>
          <w14:textFill>
            <w14:solidFill>
              <w14:schemeClr w14:val="tx1"/>
            </w14:solidFill>
          </w14:textFill>
        </w:rPr>
        <w:t>%，低于</w:t>
      </w:r>
      <w:r>
        <w:rPr>
          <w:rFonts w:hint="eastAsia"/>
          <w:color w:val="000000" w:themeColor="text1"/>
          <w14:textFill>
            <w14:solidFill>
              <w14:schemeClr w14:val="tx1"/>
            </w14:solidFill>
          </w14:textFill>
        </w:rPr>
        <w:t>《环境影响评价技术导则  大气环境》（HJ2.2-2018）附录D中的浓度限值；二噁英最大落地浓度0.0426pgTEQ/m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7.2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；汞最大落地浓度</w:t>
      </w:r>
      <w:r>
        <w:rPr>
          <w:color w:val="000000" w:themeColor="text1"/>
          <w14:textFill>
            <w14:solidFill>
              <w14:schemeClr w14:val="tx1"/>
            </w14:solidFill>
          </w14:textFill>
        </w:rPr>
        <w:t>7.50E-07mg/m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0.25</w:t>
      </w:r>
      <w:r>
        <w:rPr>
          <w:color w:val="000000" w:themeColor="text1"/>
          <w14:textFill>
            <w14:solidFill>
              <w14:schemeClr w14:val="tx1"/>
            </w14:solidFill>
          </w14:textFill>
        </w:rPr>
        <w:t>%。</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14:textFill>
            <w14:solidFill>
              <w14:schemeClr w14:val="tx1"/>
            </w14:solidFill>
          </w14:textFill>
        </w:rPr>
        <w:t>4-7</w:t>
      </w:r>
      <w:r>
        <w:rPr>
          <w:color w:val="000000" w:themeColor="text1"/>
          <w14:textFill>
            <w14:solidFill>
              <w14:schemeClr w14:val="tx1"/>
            </w14:solidFill>
          </w14:textFill>
        </w:rPr>
        <w:t>预测结果可以看出，</w:t>
      </w:r>
      <w:r>
        <w:rPr>
          <w:rFonts w:hint="eastAsia"/>
          <w:color w:val="000000" w:themeColor="text1"/>
          <w14:textFill>
            <w14:solidFill>
              <w14:schemeClr w14:val="tx1"/>
            </w14:solidFill>
          </w14:textFill>
        </w:rPr>
        <w:t>各污染物</w:t>
      </w:r>
      <w:r>
        <w:rPr>
          <w:color w:val="000000" w:themeColor="text1"/>
          <w14:textFill>
            <w14:solidFill>
              <w14:schemeClr w14:val="tx1"/>
            </w14:solidFill>
          </w14:textFill>
        </w:rPr>
        <w:t>最大落地浓度</w:t>
      </w:r>
      <w:r>
        <w:rPr>
          <w:rFonts w:hint="eastAsia"/>
          <w:color w:val="000000" w:themeColor="text1"/>
          <w14:textFill>
            <w14:solidFill>
              <w14:schemeClr w14:val="tx1"/>
            </w14:solidFill>
          </w14:textFill>
        </w:rPr>
        <w:t>均低于标准值</w:t>
      </w:r>
      <w:r>
        <w:rPr>
          <w:color w:val="000000" w:themeColor="text1"/>
          <w14:textFill>
            <w14:solidFill>
              <w14:schemeClr w14:val="tx1"/>
            </w14:solidFill>
          </w14:textFill>
        </w:rPr>
        <w:t>，因此本评价认为项目火化炉烟气的排放对周围环境空气的影响较小。</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（2）非正常排放</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非正常工况按照处理效率均降为0的废气排放量作为非正常排放源强，排气筒参数不变，具体污染物排放量见表</w:t>
      </w:r>
      <w:r>
        <w:rPr>
          <w:rFonts w:hint="eastAsia"/>
          <w:color w:val="000000" w:themeColor="text1"/>
          <w14:textFill>
            <w14:solidFill>
              <w14:schemeClr w14:val="tx1"/>
            </w14:solidFill>
          </w14:textFill>
        </w:rPr>
        <w:t>4-8</w:t>
      </w:r>
      <w:r>
        <w:rPr>
          <w:color w:val="000000" w:themeColor="text1"/>
          <w14:textFill>
            <w14:solidFill>
              <w14:schemeClr w14:val="tx1"/>
            </w14:solidFill>
          </w14:textFill>
        </w:rPr>
        <w:t>。</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4-8</w:t>
      </w:r>
      <w:r>
        <w:rPr>
          <w:b/>
          <w:bCs/>
          <w:color w:val="000000" w:themeColor="text1"/>
          <w:szCs w:val="21"/>
          <w14:textFill>
            <w14:solidFill>
              <w14:schemeClr w14:val="tx1"/>
            </w14:solidFill>
          </w14:textFill>
        </w:rPr>
        <w:t xml:space="preserve"> 非正常工况污染源参数一览表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526"/>
        <w:gridCol w:w="918"/>
        <w:gridCol w:w="1408"/>
        <w:gridCol w:w="1664"/>
        <w:gridCol w:w="1663"/>
        <w:gridCol w:w="166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519"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非正常排放原因</w:t>
            </w:r>
          </w:p>
        </w:tc>
        <w:tc>
          <w:tcPr>
            <w:tcW w:w="796"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污染物名称</w:t>
            </w:r>
          </w:p>
        </w:tc>
        <w:tc>
          <w:tcPr>
            <w:tcW w:w="941"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排放速率 kg/h</w:t>
            </w:r>
          </w:p>
        </w:tc>
        <w:tc>
          <w:tcPr>
            <w:tcW w:w="940"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单次持续时间/h</w:t>
            </w:r>
          </w:p>
        </w:tc>
        <w:tc>
          <w:tcPr>
            <w:tcW w:w="941"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lang w:val="zh-CN"/>
                <w14:textFill>
                  <w14:solidFill>
                    <w14:schemeClr w14:val="tx1"/>
                  </w14:solidFill>
                </w14:textFill>
              </w:rPr>
              <w:t>年发生频次/次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863"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tc>
        <w:tc>
          <w:tcPr>
            <w:tcW w:w="51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废气处理系统损坏导致处理效率为0%</w:t>
            </w: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10.31</w:t>
            </w:r>
          </w:p>
        </w:tc>
        <w:tc>
          <w:tcPr>
            <w:tcW w:w="940"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41"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0.103</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0.12</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8</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0.104</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二噁英</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5.54e-5</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汞</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0.00027</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tc>
        <w:tc>
          <w:tcPr>
            <w:tcW w:w="519"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废气处理系统损坏导致处理效率为0%</w:t>
            </w: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10.31</w:t>
            </w:r>
          </w:p>
        </w:tc>
        <w:tc>
          <w:tcPr>
            <w:tcW w:w="940"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41"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0.103</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0.12</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8</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0.104</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二噁英</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5.54e-5</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340" w:hRule="atLeast"/>
          <w:jc w:val="center"/>
        </w:trPr>
        <w:tc>
          <w:tcPr>
            <w:tcW w:w="863"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519"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6"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汞</w:t>
            </w:r>
          </w:p>
        </w:tc>
        <w:tc>
          <w:tcPr>
            <w:tcW w:w="94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0.00027</w:t>
            </w:r>
          </w:p>
        </w:tc>
        <w:tc>
          <w:tcPr>
            <w:tcW w:w="940" w:type="pct"/>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p>
        </w:tc>
        <w:tc>
          <w:tcPr>
            <w:tcW w:w="941"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污染源的非正常排放污染物预测结果见表</w:t>
      </w:r>
      <w:r>
        <w:rPr>
          <w:rFonts w:hint="eastAsia"/>
          <w:color w:val="000000" w:themeColor="text1"/>
          <w14:textFill>
            <w14:solidFill>
              <w14:schemeClr w14:val="tx1"/>
            </w14:solidFill>
          </w14:textFill>
        </w:rPr>
        <w:t>4-9</w:t>
      </w:r>
      <w:r>
        <w:rPr>
          <w:color w:val="000000" w:themeColor="text1"/>
          <w14:textFill>
            <w14:solidFill>
              <w14:schemeClr w14:val="tx1"/>
            </w14:solidFill>
          </w14:textFill>
        </w:rPr>
        <w:t>。</w:t>
      </w:r>
    </w:p>
    <w:p>
      <w:pPr>
        <w:pStyle w:val="91"/>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4-9</w:t>
      </w:r>
      <w:r>
        <w:rPr>
          <w:b/>
          <w:bCs/>
          <w:color w:val="000000" w:themeColor="text1"/>
          <w:szCs w:val="21"/>
          <w14:textFill>
            <w14:solidFill>
              <w14:schemeClr w14:val="tx1"/>
            </w14:solidFill>
          </w14:textFill>
        </w:rPr>
        <w:t xml:space="preserve"> 非正常工况预测结果一览表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93"/>
        <w:gridCol w:w="1410"/>
        <w:gridCol w:w="1702"/>
        <w:gridCol w:w="2039"/>
        <w:gridCol w:w="17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12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797"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评价因子</w:t>
            </w:r>
          </w:p>
        </w:tc>
        <w:tc>
          <w:tcPr>
            <w:tcW w:w="962"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评价标准(mg/m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1153"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61" w:type="pct"/>
            <w:vAlign w:val="center"/>
          </w:tcPr>
          <w:p>
            <w:pPr>
              <w:pStyle w:val="91"/>
              <w:adjustRightInd/>
              <w:snapToGrid/>
              <w:spacing w:line="240" w:lineRule="auto"/>
              <w:ind w:firstLine="0" w:firstLineChars="0"/>
              <w:contextualSpacing/>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P</w:t>
            </w:r>
            <w:r>
              <w:rPr>
                <w:b/>
                <w:bCs/>
                <w:color w:val="000000" w:themeColor="text1"/>
                <w:sz w:val="21"/>
                <w:szCs w:val="21"/>
                <w:vertAlign w:val="subscript"/>
                <w14:textFill>
                  <w14:solidFill>
                    <w14:schemeClr w14:val="tx1"/>
                  </w14:solidFill>
                </w14:textFill>
              </w:rPr>
              <w:t>max</w:t>
            </w:r>
            <w:r>
              <w:rPr>
                <w:b/>
                <w:bCs/>
                <w:color w:val="000000" w:themeColor="text1"/>
                <w:sz w:val="21"/>
                <w:szCs w:val="21"/>
                <w14:textFill>
                  <w14:solidFill>
                    <w14:schemeClr w14:val="tx1"/>
                  </w14:solidFill>
                </w14:textFill>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7" w:type="pct"/>
            <w:vMerge w:val="restar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p>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（点源）</w:t>
            </w: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烟尘</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5.52E-01</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6.43E-03</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5.52E-03</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1.22E-02</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122.09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HCl</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5.57E-03</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二噁英</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0.6pgTEQ/m</w:t>
            </w:r>
            <w:r>
              <w:rPr>
                <w:color w:val="000000" w:themeColor="text1"/>
                <w:sz w:val="21"/>
                <w:szCs w:val="21"/>
                <w:vertAlign w:val="superscript"/>
                <w14:textFill>
                  <w14:solidFill>
                    <w14:schemeClr w14:val="tx1"/>
                  </w14:solidFill>
                </w14:textFill>
              </w:rPr>
              <w:t>3</w:t>
            </w:r>
          </w:p>
        </w:tc>
        <w:tc>
          <w:tcPr>
            <w:tcW w:w="1153" w:type="pct"/>
            <w:vAlign w:val="center"/>
          </w:tcPr>
          <w:p>
            <w:pPr>
              <w:pStyle w:val="86"/>
              <w:jc w:val="center"/>
              <w:rPr>
                <w:rFonts w:ascii="Times New Roman" w:hAnsi="Times New Roman" w:eastAsia="宋体" w:cs="Times New Roman"/>
                <w:color w:val="000000" w:themeColor="text1"/>
                <w:szCs w:val="21"/>
                <w:lang w:val="en-US"/>
                <w14:textFill>
                  <w14:solidFill>
                    <w14:schemeClr w14:val="tx1"/>
                  </w14:solidFill>
                </w14:textFill>
              </w:rPr>
            </w:pPr>
            <w:r>
              <w:rPr>
                <w:rFonts w:ascii="Times New Roman" w:hAnsi="Times New Roman" w:eastAsia="宋体" w:cs="Times New Roman"/>
                <w:color w:val="000000" w:themeColor="text1"/>
                <w:szCs w:val="21"/>
                <w:lang w:val="en-US"/>
                <w14:textFill>
                  <w14:solidFill>
                    <w14:schemeClr w14:val="tx1"/>
                  </w14:solidFill>
                </w14:textFill>
              </w:rPr>
              <w:t>0.0216</w:t>
            </w:r>
            <w:r>
              <w:rPr>
                <w:rFonts w:hint="eastAsia" w:ascii="Times New Roman" w:hAnsi="Times New Roman" w:eastAsia="宋体" w:cs="Times New Roman"/>
                <w:color w:val="000000" w:themeColor="text1"/>
                <w:szCs w:val="21"/>
                <w:lang w:val="en-US"/>
                <w14:textFill>
                  <w14:solidFill>
                    <w14:schemeClr w14:val="tx1"/>
                  </w14:solidFill>
                </w14:textFill>
              </w:rPr>
              <w:t>pgTEQ/m</w:t>
            </w:r>
            <w:r>
              <w:rPr>
                <w:rFonts w:hint="eastAsia" w:ascii="Times New Roman" w:hAnsi="Times New Roman" w:eastAsia="宋体" w:cs="Times New Roman"/>
                <w:color w:val="000000" w:themeColor="text1"/>
                <w:szCs w:val="21"/>
                <w:vertAlign w:val="superscript"/>
                <w:lang w:val="en-US"/>
                <w14:textFill>
                  <w14:solidFill>
                    <w14:schemeClr w14:val="tx1"/>
                  </w14:solidFill>
                </w14:textFill>
              </w:rPr>
              <w:t>3</w:t>
            </w:r>
          </w:p>
        </w:tc>
        <w:tc>
          <w:tcPr>
            <w:tcW w:w="961" w:type="pct"/>
            <w:vAlign w:val="center"/>
          </w:tcPr>
          <w:p>
            <w:pPr>
              <w:pStyle w:val="86"/>
              <w:jc w:val="center"/>
              <w:rPr>
                <w:rFonts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14:textFill>
                  <w14:solidFill>
                    <w14:schemeClr w14:val="tx1"/>
                  </w14:solidFill>
                </w14:textFill>
              </w:rPr>
              <w:t>3.60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7" w:type="pct"/>
            <w:vMerge w:val="continue"/>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p>
        </w:tc>
        <w:tc>
          <w:tcPr>
            <w:tcW w:w="797"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962"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1153"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1.45E-05</w:t>
            </w:r>
          </w:p>
        </w:tc>
        <w:tc>
          <w:tcPr>
            <w:tcW w:w="961" w:type="pct"/>
            <w:vAlign w:val="center"/>
          </w:tcPr>
          <w:p>
            <w:pPr>
              <w:pStyle w:val="91"/>
              <w:adjustRightInd/>
              <w:snapToGrid/>
              <w:spacing w:line="240" w:lineRule="auto"/>
              <w:ind w:firstLine="0" w:firstLineChars="0"/>
              <w:contextualSpacing/>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4.82</w:t>
            </w:r>
          </w:p>
        </w:tc>
      </w:tr>
    </w:tbl>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14:textFill>
            <w14:solidFill>
              <w14:schemeClr w14:val="tx1"/>
            </w14:solidFill>
          </w14:textFill>
        </w:rPr>
        <w:t>4-9</w:t>
      </w:r>
      <w:r>
        <w:rPr>
          <w:color w:val="000000" w:themeColor="text1"/>
          <w14:textFill>
            <w14:solidFill>
              <w14:schemeClr w14:val="tx1"/>
            </w14:solidFill>
          </w14:textFill>
        </w:rPr>
        <w:t>非正常情况排放预测结果可知，废气处理设施失效的情况下，污染最严重的</w:t>
      </w:r>
      <w:r>
        <w:rPr>
          <w:rFonts w:hint="eastAsia"/>
          <w:color w:val="000000" w:themeColor="text1"/>
          <w14:textFill>
            <w14:solidFill>
              <w14:schemeClr w14:val="tx1"/>
            </w14:solidFill>
          </w14:textFill>
        </w:rPr>
        <w:t>一氧化碳</w:t>
      </w:r>
      <w:r>
        <w:rPr>
          <w:color w:val="000000" w:themeColor="text1"/>
          <w14:textFill>
            <w14:solidFill>
              <w14:schemeClr w14:val="tx1"/>
            </w14:solidFill>
          </w14:textFill>
        </w:rPr>
        <w:t>最大占标率可达122.09%，对项目周边环境影响较大，因此建议建设单位加强环保设施检查，确保大气达标排放。</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（3）油烟废气</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项目食堂排放的大气污染物包括燃料废气和油烟废气。本项目营运后食堂采用电、液化石油气等清洁燃料，完全燃烧的产物是CO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O，其排放对环境空气的影响很小。食堂烹饪时产生的油烟废气是食堂的主要环境空气污染物，烹饪时油烟的产生浓度约为 </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，油烟经油烟净化器净化处理后排放，油烟净化器的净化效率大于60%，油烟的排放浓度约为</w:t>
      </w:r>
      <w:r>
        <w:rPr>
          <w:rFonts w:hint="eastAsia"/>
          <w:color w:val="000000" w:themeColor="text1"/>
          <w14:textFill>
            <w14:solidFill>
              <w14:schemeClr w14:val="tx1"/>
            </w14:solidFill>
          </w14:textFill>
        </w:rPr>
        <w:t>0.6</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，符合《饮食业油烟排放标准（试行）》（GB18483-2001）中的有关规定。达标后的油烟由专用烟道送至房屋楼顶高空排放，对周围环境影响较小。</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4.2.4卫生防护距离</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根据2021年6月1日起施行《大气有害物质无组织排放卫生防护距离推导技术导则》（GB/T 39499-2020），该导则代替了《火葬场卫生防护距离标准》(GB18081-2000)。</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火化废气均由集气设备</w:t>
      </w:r>
      <w:r>
        <w:rPr>
          <w:rFonts w:hint="eastAsia"/>
          <w:color w:val="000000" w:themeColor="text1"/>
          <w14:textFill>
            <w14:solidFill>
              <w14:schemeClr w14:val="tx1"/>
            </w14:solidFill>
          </w14:textFill>
        </w:rPr>
        <w:t>100%收集后有组织高空排放，不产生无组织排放废气。本项目</w:t>
      </w:r>
      <w:r>
        <w:rPr>
          <w:color w:val="000000" w:themeColor="text1"/>
          <w14:textFill>
            <w14:solidFill>
              <w14:schemeClr w14:val="tx1"/>
            </w14:solidFill>
          </w14:textFill>
        </w:rPr>
        <w:t>可不设置卫生防护距离。</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4.2.5 </w:t>
      </w:r>
      <w:r>
        <w:rPr>
          <w:color w:val="000000" w:themeColor="text1"/>
          <w14:textFill>
            <w14:solidFill>
              <w14:schemeClr w14:val="tx1"/>
            </w14:solidFill>
          </w14:textFill>
        </w:rPr>
        <w:t>大气污染物排放量核算</w:t>
      </w:r>
    </w:p>
    <w:p>
      <w:pPr>
        <w:pStyle w:val="91"/>
        <w:ind w:firstLine="480"/>
        <w:rPr>
          <w:color w:val="000000" w:themeColor="text1"/>
          <w14:textFill>
            <w14:solidFill>
              <w14:schemeClr w14:val="tx1"/>
            </w14:solidFill>
          </w14:textFill>
        </w:rPr>
      </w:pPr>
      <w:r>
        <w:rPr>
          <w:color w:val="000000" w:themeColor="text1"/>
          <w14:textFill>
            <w14:solidFill>
              <w14:schemeClr w14:val="tx1"/>
            </w14:solidFill>
          </w14:textFill>
        </w:rPr>
        <w:t>项目大气污染物</w:t>
      </w:r>
      <w:r>
        <w:rPr>
          <w:rFonts w:hint="eastAsia"/>
          <w:color w:val="000000" w:themeColor="text1"/>
          <w14:textFill>
            <w14:solidFill>
              <w14:schemeClr w14:val="tx1"/>
            </w14:solidFill>
          </w14:textFill>
        </w:rPr>
        <w:t>有组织</w:t>
      </w:r>
      <w:r>
        <w:rPr>
          <w:color w:val="000000" w:themeColor="text1"/>
          <w14:textFill>
            <w14:solidFill>
              <w14:schemeClr w14:val="tx1"/>
            </w14:solidFill>
          </w14:textFill>
        </w:rPr>
        <w:t>排放量核算结果见表 4-1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pPr>
        <w:pStyle w:val="91"/>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4-11</w:t>
      </w:r>
      <w:r>
        <w:rPr>
          <w:b/>
          <w:color w:val="000000" w:themeColor="text1"/>
          <w14:textFill>
            <w14:solidFill>
              <w14:schemeClr w14:val="tx1"/>
            </w14:solidFill>
          </w14:textFill>
        </w:rPr>
        <w:t xml:space="preserve"> 大气污染物有组织排放量核算表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63"/>
        <w:gridCol w:w="1249"/>
        <w:gridCol w:w="1166"/>
        <w:gridCol w:w="2009"/>
        <w:gridCol w:w="2016"/>
        <w:gridCol w:w="19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jc w:val="center"/>
        </w:trPr>
        <w:tc>
          <w:tcPr>
            <w:tcW w:w="262"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序</w:t>
            </w:r>
          </w:p>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号</w:t>
            </w:r>
          </w:p>
        </w:tc>
        <w:tc>
          <w:tcPr>
            <w:tcW w:w="706"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排放口编号</w:t>
            </w:r>
          </w:p>
        </w:tc>
        <w:tc>
          <w:tcPr>
            <w:tcW w:w="659"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污染物</w:t>
            </w:r>
          </w:p>
        </w:tc>
        <w:tc>
          <w:tcPr>
            <w:tcW w:w="1136"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核算排放浓度/</w:t>
            </w:r>
          </w:p>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（mg/m</w:t>
            </w:r>
            <w:r>
              <w:rPr>
                <w:rFonts w:eastAsiaTheme="minorEastAsia"/>
                <w:b/>
                <w:bCs/>
                <w:color w:val="000000" w:themeColor="text1"/>
                <w:sz w:val="21"/>
                <w:szCs w:val="21"/>
                <w:vertAlign w:val="superscript"/>
                <w14:textFill>
                  <w14:solidFill>
                    <w14:schemeClr w14:val="tx1"/>
                  </w14:solidFill>
                </w14:textFill>
              </w:rPr>
              <w:t>3</w:t>
            </w:r>
            <w:r>
              <w:rPr>
                <w:rFonts w:eastAsiaTheme="minorEastAsia"/>
                <w:b/>
                <w:bCs/>
                <w:color w:val="000000" w:themeColor="text1"/>
                <w:sz w:val="21"/>
                <w:szCs w:val="21"/>
                <w14:textFill>
                  <w14:solidFill>
                    <w14:schemeClr w14:val="tx1"/>
                  </w14:solidFill>
                </w14:textFill>
              </w:rPr>
              <w:t>）</w:t>
            </w:r>
          </w:p>
        </w:tc>
        <w:tc>
          <w:tcPr>
            <w:tcW w:w="1140"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核算排放速率/</w:t>
            </w:r>
          </w:p>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（kg/h）</w:t>
            </w:r>
          </w:p>
        </w:tc>
        <w:tc>
          <w:tcPr>
            <w:tcW w:w="1097" w:type="pct"/>
            <w:vAlign w:val="center"/>
          </w:tcPr>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核算年排放量</w:t>
            </w:r>
          </w:p>
          <w:p>
            <w:pPr>
              <w:pStyle w:val="91"/>
              <w:adjustRightInd/>
              <w:snapToGrid/>
              <w:spacing w:line="240" w:lineRule="auto"/>
              <w:ind w:firstLine="0" w:firstLineChars="0"/>
              <w:contextualSpacing/>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w:t>
            </w:r>
          </w:p>
        </w:tc>
        <w:tc>
          <w:tcPr>
            <w:tcW w:w="706" w:type="pct"/>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DA001</w:t>
            </w: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3.22</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2</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0.966</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0.016</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1.858</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2.847</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0.7815</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0.013</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0.00085</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0.000014</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113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0.205ngTEQ/m</w:t>
            </w:r>
            <w:r>
              <w:rPr>
                <w:color w:val="000000" w:themeColor="text1"/>
                <w:szCs w:val="21"/>
                <w:vertAlign w:val="superscript"/>
                <w14:textFill>
                  <w14:solidFill>
                    <w14:schemeClr w14:val="tx1"/>
                  </w14:solidFill>
                </w14:textFill>
              </w:rPr>
              <w:t>3</w:t>
            </w:r>
          </w:p>
        </w:tc>
        <w:tc>
          <w:tcPr>
            <w:tcW w:w="1140"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3.28ugTEQ/h</w:t>
            </w:r>
          </w:p>
        </w:tc>
        <w:tc>
          <w:tcPr>
            <w:tcW w:w="1097"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2952ugTEQ/a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w:t>
            </w:r>
          </w:p>
        </w:tc>
        <w:tc>
          <w:tcPr>
            <w:tcW w:w="706" w:type="pct"/>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DA00</w:t>
            </w:r>
            <w:r>
              <w:rPr>
                <w:rFonts w:hint="eastAsia" w:eastAsiaTheme="minorEastAsia"/>
                <w:color w:val="000000" w:themeColor="text1"/>
                <w:sz w:val="21"/>
                <w:szCs w:val="21"/>
                <w14:textFill>
                  <w14:solidFill>
                    <w14:schemeClr w14:val="tx1"/>
                  </w14:solidFill>
                </w14:textFill>
              </w:rPr>
              <w:t>2</w:t>
            </w: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3.22</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2</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0.966</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0.016</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1.858</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2.847</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0.7815</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0.013</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1136"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0.00085</w:t>
            </w:r>
          </w:p>
        </w:tc>
        <w:tc>
          <w:tcPr>
            <w:tcW w:w="1140"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0.000014</w:t>
            </w:r>
          </w:p>
        </w:tc>
        <w:tc>
          <w:tcPr>
            <w:tcW w:w="1097" w:type="pct"/>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2"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706" w:type="pct"/>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659" w:type="pct"/>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113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0.205ngTEQ/m</w:t>
            </w:r>
            <w:r>
              <w:rPr>
                <w:color w:val="000000" w:themeColor="text1"/>
                <w:szCs w:val="21"/>
                <w:vertAlign w:val="superscript"/>
                <w14:textFill>
                  <w14:solidFill>
                    <w14:schemeClr w14:val="tx1"/>
                  </w14:solidFill>
                </w14:textFill>
              </w:rPr>
              <w:t>3</w:t>
            </w:r>
          </w:p>
        </w:tc>
        <w:tc>
          <w:tcPr>
            <w:tcW w:w="1140"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3.28ugTEQ/h</w:t>
            </w:r>
          </w:p>
        </w:tc>
        <w:tc>
          <w:tcPr>
            <w:tcW w:w="1097"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2952ugTEQ/a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restart"/>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有组织排放量总计</w:t>
            </w: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109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gridSpan w:val="2"/>
            <w:vMerge w:val="continue"/>
            <w:vAlign w:val="center"/>
          </w:tcPr>
          <w:p>
            <w:pPr>
              <w:pStyle w:val="91"/>
              <w:adjustRightInd/>
              <w:snapToGrid/>
              <w:spacing w:line="240" w:lineRule="auto"/>
              <w:ind w:firstLine="0" w:firstLineChars="0"/>
              <w:contextualSpacing/>
              <w:jc w:val="center"/>
              <w:rPr>
                <w:rFonts w:eastAsiaTheme="minorEastAsia"/>
                <w:color w:val="000000" w:themeColor="text1"/>
                <w:sz w:val="21"/>
                <w:szCs w:val="21"/>
                <w14:textFill>
                  <w14:solidFill>
                    <w14:schemeClr w14:val="tx1"/>
                  </w14:solidFill>
                </w14:textFill>
              </w:rPr>
            </w:pPr>
          </w:p>
        </w:tc>
        <w:tc>
          <w:tcPr>
            <w:tcW w:w="2935" w:type="pct"/>
            <w:gridSpan w:val="3"/>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1097" w:type="pct"/>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5904ugTEQ/a</w:t>
            </w:r>
          </w:p>
        </w:tc>
      </w:tr>
    </w:tbl>
    <w:p>
      <w:pPr>
        <w:pStyle w:val="91"/>
        <w:ind w:firstLine="48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2.6</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火化废气</w:t>
      </w:r>
      <w:r>
        <w:rPr>
          <w:bCs/>
          <w:color w:val="000000" w:themeColor="text1"/>
          <w14:textFill>
            <w14:solidFill>
              <w14:schemeClr w14:val="tx1"/>
            </w14:solidFill>
          </w14:textFill>
        </w:rPr>
        <w:t>处理可行性分析</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项目采用急冷装置+布袋除尘+双碱水膜脱硫+活性炭喷射处理火化废气后通过15m高排气筒排放，是同一套应用技术的组合。</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（1）火化机废气处理原理介绍:</w:t>
      </w:r>
    </w:p>
    <w:p>
      <w:pPr>
        <w:pStyle w:val="9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①冷热交换装置</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装置降温速率为200℃/s采用雾化风冷方式，3秒钟内烟气由600℃速降温至200℃以下，控制二嗯英的产生，减少烟气有害物质的浓度。交换器为列管耐腐蚀材质结构，由急冷和热交换两部分组成了火化烟气冷热交换装置，使其在3秒内能够迅速冷却至200℃以下。</w:t>
      </w:r>
    </w:p>
    <w:p>
      <w:pPr>
        <w:pStyle w:val="91"/>
        <w:ind w:firstLine="480"/>
        <w:rPr>
          <w:rFonts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eastAsiaTheme="minorEastAsia"/>
          <w:color w:val="000000" w:themeColor="text1"/>
          <w14:textFill>
            <w14:solidFill>
              <w14:schemeClr w14:val="tx1"/>
            </w14:solidFill>
          </w14:textFill>
        </w:rPr>
        <w:t>脱酸、脱硫装置</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装置为罐体耐腐蚀材质结构，由储存和喷淋两部分组成。喷雾粒度在30微米至70微米之间，雾化到气化的时间不超过1秒。将碱液直接泵入反应罐内与烟气充分接触反应，最终达到去除烟气中的含酸性、硫性物质同时完成三步净化处理。空气压缩机选用风冷变频式螺杆压缩机，及其他配套设备，有空气净化装置和储气罐。</w:t>
      </w:r>
    </w:p>
    <w:p>
      <w:pPr>
        <w:pStyle w:val="91"/>
        <w:ind w:firstLine="480"/>
        <w:rPr>
          <w:rFonts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hint="eastAsia" w:eastAsiaTheme="minorEastAsia"/>
          <w:color w:val="000000" w:themeColor="text1"/>
          <w14:textFill>
            <w14:solidFill>
              <w14:schemeClr w14:val="tx1"/>
            </w14:solidFill>
          </w14:textFill>
        </w:rPr>
        <w:t>布袋除尘</w:t>
      </w:r>
      <w:r>
        <w:rPr>
          <w:rFonts w:eastAsiaTheme="minorEastAsia"/>
          <w:color w:val="000000" w:themeColor="text1"/>
          <w14:textFill>
            <w14:solidFill>
              <w14:schemeClr w14:val="tx1"/>
            </w14:solidFill>
          </w14:textFill>
        </w:rPr>
        <w:t>装置</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布袋除尘器的结构必须由箱体、支架、检修架、滤袋架、滤袋、导流板、收尘室、电磁脉冲装置、气缸提升阀、刚性叶轮、清灰程序控制、尾气进口开合蝶阀，保温隔热层、外包等组成。</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布袋除尘器的布袋表面能为吸附提供载体，以保证较长的停留时间。布袋除尘器分割为若干风室，通过脉冲阀定时轮流向各风室自动通入高压空气进行反吹，将截留在布袋外表面的粉尘抖落到下部的集灰斗内。利用</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气力抖动</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原理，将清灰过程的滤袋一次胀缩改为多次脉动冲击，滤袋带有高频低幅的振动，大大提高了清灰效果。当系统某分室执行机构发生故障或滤袋出现破损需要更换时，只要将某分室风量调节阀关闭，打开检修门将室内有害气体抽尽后，再手动指令关闭净化气出口阀，这一分室就脱离了除尘系统。飞灰因含有毒性物质，定时清出后装入专门的袋中，并进行安全处理。</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布袋除尘器是一种高效的除尘装置。去除粉尘粒径在0.05um以上，除尘效率可达70%以上。本系统配套专门针对废弃物设计的布袋除尘装置，采用耐高温、耐酸碱性、耐水解性、抗氧化性都很好的特殊过滤材料，对于高酸性烟气造成的烟气露点上升而导致烟气容易结露有良好的抵御效果，由于表面光滑、疏水，高粘性粉尘无法黏附于过滤材料表面，在保证除尘效果的前提下使清灰压力大大降低，同时使过滤材料的使用寿命大大延长，布袋使用寿命大于3年。特殊过滤结构降低了设备总阻力，使脉冲清灰频率大大降低，可使布袋表面成为石灰粉的良好载体。</w:t>
      </w:r>
    </w:p>
    <w:p>
      <w:pPr>
        <w:pStyle w:val="91"/>
        <w:ind w:firstLine="480"/>
        <w:rPr>
          <w:rFonts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eastAsiaTheme="minorEastAsia"/>
          <w:color w:val="000000" w:themeColor="text1"/>
          <w14:textFill>
            <w14:solidFill>
              <w14:schemeClr w14:val="tx1"/>
            </w14:solidFill>
          </w14:textFill>
        </w:rPr>
        <w:t>活性炭（异味）喷射装置</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活性炭设备要采用耐腐蚀、耐高温的钢板制成，厚度不小于4mm。活性炭通过压缩用气的喷射直接将活性炭喷射至反应吸收塔与布袋除尘器之间的烟道中，在烟道中活性炭与烟气充分混合，由于活性炭具有极大的比表面积，可吸附烟气中的二嗯英、异味、汞等重金属，使烟气排放达到标准。每处理一句遗体，活性炭喷射量约为</w:t>
      </w:r>
      <w:r>
        <w:rPr>
          <w:rFonts w:hint="eastAsia" w:eastAsiaTheme="minorEastAsia"/>
          <w:color w:val="000000" w:themeColor="text1"/>
          <w14:textFill>
            <w14:solidFill>
              <w14:schemeClr w14:val="tx1"/>
            </w14:solidFill>
          </w14:textFill>
        </w:rPr>
        <w:t>1~2kg</w:t>
      </w:r>
      <w:r>
        <w:rPr>
          <w:rFonts w:eastAsiaTheme="minorEastAsia"/>
          <w:color w:val="000000" w:themeColor="text1"/>
          <w14:textFill>
            <w14:solidFill>
              <w14:schemeClr w14:val="tx1"/>
            </w14:solidFill>
          </w14:textFill>
        </w:rPr>
        <w:t>。</w:t>
      </w:r>
    </w:p>
    <w:p>
      <w:pPr>
        <w:pStyle w:val="91"/>
        <w:ind w:firstLine="480"/>
        <w:rPr>
          <w:rFonts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eastAsiaTheme="minorEastAsia"/>
          <w:color w:val="000000" w:themeColor="text1"/>
          <w14:textFill>
            <w14:solidFill>
              <w14:schemeClr w14:val="tx1"/>
            </w14:solidFill>
          </w14:textFill>
        </w:rPr>
        <w:t>排烟系统</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引风、排烟系统由引风机、管道及烟囱组成。本项目排气筒位于火化车间屋顶，离地</w:t>
      </w:r>
      <w:r>
        <w:rPr>
          <w:rFonts w:hint="eastAsia" w:eastAsiaTheme="minorEastAsia"/>
          <w:color w:val="000000" w:themeColor="text1"/>
          <w14:textFill>
            <w14:solidFill>
              <w14:schemeClr w14:val="tx1"/>
            </w14:solidFill>
          </w14:textFill>
        </w:rPr>
        <w:t>15m，满足相关标准要求。</w:t>
      </w:r>
    </w:p>
    <w:p>
      <w:pPr>
        <w:pStyle w:val="91"/>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经处理后排放的火化机焚烧尾气能够满足即将实行的(GB13801-2015）中的表2标准要求。废气最终由排气筒排放，排气简排放口距离地面约15m，排气筒高度满足《火葬场大气污染物排放标准》&lt;GB13801-2015)中</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对新建单位专用设备</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含火花间</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的排气简高度不应低于12m，排气筒周围半径200范围内有建筑物时，排气简还应高出最高建筑物3m以上</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的要求，项目火化机尾气处理措施可行。</w:t>
      </w:r>
    </w:p>
    <w:p>
      <w:pPr>
        <w:pStyle w:val="142"/>
        <w:spacing w:before="120" w:beforeLines="50" w:line="360" w:lineRule="auto"/>
        <w:ind w:firstLine="520"/>
        <w:rPr>
          <w:rFonts w:eastAsiaTheme="minorEastAsia"/>
          <w:color w:val="000000" w:themeColor="text1"/>
          <w:sz w:val="24"/>
          <w:szCs w:val="24"/>
          <w14:textFill>
            <w14:solidFill>
              <w14:schemeClr w14:val="tx1"/>
            </w14:solidFill>
          </w14:textFill>
        </w:rPr>
      </w:pPr>
      <w:r>
        <w:rPr>
          <w:bCs w:val="0"/>
          <w:color w:val="000000" w:themeColor="text1"/>
          <w14:textFill>
            <w14:solidFill>
              <w14:schemeClr w14:val="tx1"/>
            </w14:solidFill>
          </w14:textFill>
        </w:rPr>
        <w:t>4.</w:t>
      </w:r>
      <w:r>
        <w:rPr>
          <w:rFonts w:hint="eastAsia"/>
          <w:bCs w:val="0"/>
          <w:color w:val="000000" w:themeColor="text1"/>
          <w14:textFill>
            <w14:solidFill>
              <w14:schemeClr w14:val="tx1"/>
            </w14:solidFill>
          </w14:textFill>
        </w:rPr>
        <w:t>2.7</w:t>
      </w:r>
      <w:r>
        <w:rPr>
          <w:bCs w:val="0"/>
          <w:color w:val="000000" w:themeColor="text1"/>
          <w14:textFill>
            <w14:solidFill>
              <w14:schemeClr w14:val="tx1"/>
            </w14:solidFill>
          </w14:textFill>
        </w:rPr>
        <w:t xml:space="preserve"> </w:t>
      </w:r>
      <w:r>
        <w:rPr>
          <w:rFonts w:eastAsiaTheme="minorEastAsia"/>
          <w:color w:val="000000" w:themeColor="text1"/>
          <w:sz w:val="24"/>
          <w:szCs w:val="24"/>
          <w14:textFill>
            <w14:solidFill>
              <w14:schemeClr w14:val="tx1"/>
            </w14:solidFill>
          </w14:textFill>
        </w:rPr>
        <w:t>污染物监测要求</w:t>
      </w:r>
    </w:p>
    <w:p>
      <w:pPr>
        <w:pStyle w:val="142"/>
        <w:spacing w:line="360" w:lineRule="auto"/>
        <w:ind w:firstLine="480"/>
        <w:rPr>
          <w:color w:val="000000" w:themeColor="text1"/>
          <w:sz w:val="24"/>
          <w:szCs w:val="24"/>
          <w14:textFill>
            <w14:solidFill>
              <w14:schemeClr w14:val="tx1"/>
            </w14:solidFill>
          </w14:textFill>
        </w:rPr>
      </w:pPr>
      <w:bookmarkStart w:id="12" w:name="OLE_LINK308"/>
      <w:r>
        <w:rPr>
          <w:rFonts w:eastAsiaTheme="minorEastAsia"/>
          <w:color w:val="000000" w:themeColor="text1"/>
          <w:sz w:val="24"/>
          <w:szCs w:val="24"/>
          <w14:textFill>
            <w14:solidFill>
              <w14:schemeClr w14:val="tx1"/>
            </w14:solidFill>
          </w14:textFill>
        </w:rPr>
        <w:t>根据《固定污染源排污许可分类管理名录（2019年版）》，本项目排污许可管理类别为“简化管理”，本项目废气例行监测任务应委托当地有资质的监测单位承担，根据《排污单位自行监测技术指南 总则》（HJ 819-2017）要求，以及本项目排污特点，项目主要监测指标包括颗粒物、二氧化硫、氮氧化物、汞、二噁英，CO、HCL为其他监测指标，具体的项目环境监测计划详见下表。</w:t>
      </w:r>
    </w:p>
    <w:p>
      <w:pPr>
        <w:pStyle w:val="14"/>
        <w:numPr>
          <w:ilvl w:val="0"/>
          <w:numId w:val="0"/>
        </w:numP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表4-12  大气污染物自行监测要求</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509"/>
        <w:gridCol w:w="1718"/>
        <w:gridCol w:w="1475"/>
        <w:gridCol w:w="1718"/>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产排污环节</w:t>
            </w:r>
          </w:p>
        </w:tc>
        <w:tc>
          <w:tcPr>
            <w:tcW w:w="833"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排放口编号</w:t>
            </w:r>
          </w:p>
        </w:tc>
        <w:tc>
          <w:tcPr>
            <w:tcW w:w="948"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排放口名称</w:t>
            </w:r>
          </w:p>
        </w:tc>
        <w:tc>
          <w:tcPr>
            <w:tcW w:w="814"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监测内容</w:t>
            </w:r>
          </w:p>
        </w:tc>
        <w:tc>
          <w:tcPr>
            <w:tcW w:w="948"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监测因子</w:t>
            </w:r>
          </w:p>
        </w:tc>
        <w:tc>
          <w:tcPr>
            <w:tcW w:w="615" w:type="pct"/>
            <w:vAlign w:val="center"/>
          </w:tcPr>
          <w:p>
            <w:pPr>
              <w:pStyle w:val="139"/>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vMerge w:val="restart"/>
            <w:vAlign w:val="center"/>
          </w:tcPr>
          <w:p>
            <w:pPr>
              <w:pStyle w:val="139"/>
              <w:rPr>
                <w:rFonts w:eastAsiaTheme="minorEastAsia"/>
                <w:color w:val="000000" w:themeColor="text1"/>
                <w14:textFill>
                  <w14:solidFill>
                    <w14:schemeClr w14:val="tx1"/>
                  </w14:solidFill>
                </w14:textFill>
              </w:rPr>
            </w:pPr>
            <w:r>
              <w:rPr>
                <w:rFonts w:eastAsiaTheme="minorEastAsia"/>
                <w:color w:val="000000" w:themeColor="text1"/>
                <w:szCs w:val="21"/>
                <w14:textFill>
                  <w14:solidFill>
                    <w14:schemeClr w14:val="tx1"/>
                  </w14:solidFill>
                </w14:textFill>
              </w:rPr>
              <w:t>火化</w:t>
            </w:r>
            <w:r>
              <w:rPr>
                <w:rFonts w:hint="eastAsia" w:eastAsiaTheme="minorEastAsia"/>
                <w:color w:val="000000" w:themeColor="text1"/>
                <w:szCs w:val="21"/>
                <w14:textFill>
                  <w14:solidFill>
                    <w14:schemeClr w14:val="tx1"/>
                  </w14:solidFill>
                </w14:textFill>
              </w:rPr>
              <w:t>炉</w:t>
            </w:r>
          </w:p>
        </w:tc>
        <w:tc>
          <w:tcPr>
            <w:tcW w:w="833" w:type="pct"/>
            <w:vMerge w:val="restart"/>
            <w:vAlign w:val="center"/>
          </w:tcPr>
          <w:p>
            <w:pPr>
              <w:pStyle w:val="139"/>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DA001、DA00</w:t>
            </w:r>
            <w:r>
              <w:rPr>
                <w:rFonts w:hint="eastAsia" w:eastAsiaTheme="minorEastAsia"/>
                <w:color w:val="000000" w:themeColor="text1"/>
                <w14:textFill>
                  <w14:solidFill>
                    <w14:schemeClr w14:val="tx1"/>
                  </w14:solidFill>
                </w14:textFill>
              </w:rPr>
              <w:t>2</w:t>
            </w:r>
          </w:p>
        </w:tc>
        <w:tc>
          <w:tcPr>
            <w:tcW w:w="948" w:type="pct"/>
            <w:vMerge w:val="restart"/>
            <w:vAlign w:val="center"/>
          </w:tcPr>
          <w:p>
            <w:pPr>
              <w:pStyle w:val="139"/>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1#排放口、</w:t>
            </w:r>
            <w:r>
              <w:rPr>
                <w:rFonts w:hint="eastAsia" w:eastAsiaTheme="minorEastAsia"/>
                <w:color w:val="000000" w:themeColor="text1"/>
                <w14:textFill>
                  <w14:solidFill>
                    <w14:schemeClr w14:val="tx1"/>
                  </w14:solidFill>
                </w14:textFill>
              </w:rPr>
              <w:t>2</w:t>
            </w:r>
            <w:r>
              <w:rPr>
                <w:rFonts w:eastAsiaTheme="minorEastAsia"/>
                <w:color w:val="000000" w:themeColor="text1"/>
                <w14:textFill>
                  <w14:solidFill>
                    <w14:schemeClr w14:val="tx1"/>
                  </w14:solidFill>
                </w14:textFill>
              </w:rPr>
              <w:t>#排放口</w:t>
            </w:r>
          </w:p>
        </w:tc>
        <w:tc>
          <w:tcPr>
            <w:tcW w:w="814" w:type="pct"/>
            <w:vMerge w:val="restart"/>
            <w:vAlign w:val="center"/>
          </w:tcPr>
          <w:p>
            <w:pPr>
              <w:pStyle w:val="143"/>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烟气流速，烟气温度，烟气含湿量，烟气量</w:t>
            </w:r>
          </w:p>
        </w:tc>
        <w:tc>
          <w:tcPr>
            <w:tcW w:w="948" w:type="pct"/>
            <w:vAlign w:val="center"/>
          </w:tcPr>
          <w:p>
            <w:pPr>
              <w:pStyle w:val="139"/>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颗粒物、二氧化硫、氮氧化物、汞、二噁英</w:t>
            </w:r>
          </w:p>
        </w:tc>
        <w:tc>
          <w:tcPr>
            <w:tcW w:w="615" w:type="pct"/>
            <w:vAlign w:val="center"/>
          </w:tcPr>
          <w:p>
            <w:pPr>
              <w:pStyle w:val="139"/>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1次/半年</w:t>
            </w:r>
          </w:p>
          <w:p>
            <w:pPr>
              <w:pStyle w:val="139"/>
              <w:rPr>
                <w:rFonts w:eastAsiaTheme="minorEastAsia"/>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vMerge w:val="continue"/>
            <w:vAlign w:val="center"/>
          </w:tcPr>
          <w:p>
            <w:pPr>
              <w:pStyle w:val="139"/>
              <w:rPr>
                <w:rFonts w:eastAsiaTheme="minorEastAsia"/>
                <w:color w:val="000000" w:themeColor="text1"/>
                <w:szCs w:val="21"/>
                <w14:textFill>
                  <w14:solidFill>
                    <w14:schemeClr w14:val="tx1"/>
                  </w14:solidFill>
                </w14:textFill>
              </w:rPr>
            </w:pPr>
          </w:p>
        </w:tc>
        <w:tc>
          <w:tcPr>
            <w:tcW w:w="833" w:type="pct"/>
            <w:vMerge w:val="continue"/>
            <w:vAlign w:val="center"/>
          </w:tcPr>
          <w:p>
            <w:pPr>
              <w:pStyle w:val="139"/>
              <w:rPr>
                <w:rFonts w:eastAsiaTheme="minorEastAsia"/>
                <w:color w:val="000000" w:themeColor="text1"/>
                <w14:textFill>
                  <w14:solidFill>
                    <w14:schemeClr w14:val="tx1"/>
                  </w14:solidFill>
                </w14:textFill>
              </w:rPr>
            </w:pPr>
          </w:p>
        </w:tc>
        <w:tc>
          <w:tcPr>
            <w:tcW w:w="948" w:type="pct"/>
            <w:vMerge w:val="continue"/>
            <w:vAlign w:val="center"/>
          </w:tcPr>
          <w:p>
            <w:pPr>
              <w:pStyle w:val="139"/>
              <w:rPr>
                <w:rFonts w:eastAsiaTheme="minorEastAsia"/>
                <w:color w:val="000000" w:themeColor="text1"/>
                <w14:textFill>
                  <w14:solidFill>
                    <w14:schemeClr w14:val="tx1"/>
                  </w14:solidFill>
                </w14:textFill>
              </w:rPr>
            </w:pPr>
          </w:p>
        </w:tc>
        <w:tc>
          <w:tcPr>
            <w:tcW w:w="814" w:type="pct"/>
            <w:vMerge w:val="continue"/>
            <w:vAlign w:val="center"/>
          </w:tcPr>
          <w:p>
            <w:pPr>
              <w:pStyle w:val="143"/>
              <w:jc w:val="center"/>
              <w:rPr>
                <w:rFonts w:eastAsiaTheme="minorEastAsia"/>
                <w:color w:val="000000" w:themeColor="text1"/>
                <w14:textFill>
                  <w14:solidFill>
                    <w14:schemeClr w14:val="tx1"/>
                  </w14:solidFill>
                </w14:textFill>
              </w:rPr>
            </w:pPr>
          </w:p>
        </w:tc>
        <w:tc>
          <w:tcPr>
            <w:tcW w:w="948"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CO、HCL</w:t>
            </w:r>
          </w:p>
        </w:tc>
        <w:tc>
          <w:tcPr>
            <w:tcW w:w="615" w:type="pct"/>
            <w:vAlign w:val="center"/>
          </w:tcPr>
          <w:p>
            <w:pPr>
              <w:pStyle w:val="139"/>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1次/年</w:t>
            </w:r>
          </w:p>
        </w:tc>
      </w:tr>
      <w:bookmarkEnd w:id="12"/>
    </w:tbl>
    <w:p>
      <w:pPr>
        <w:pStyle w:val="91"/>
        <w:spacing w:before="120" w:beforeLines="50"/>
        <w:ind w:firstLine="480"/>
        <w:rPr>
          <w:bCs/>
          <w:color w:val="000000" w:themeColor="text1"/>
          <w14:textFill>
            <w14:solidFill>
              <w14:schemeClr w14:val="tx1"/>
            </w14:solidFill>
          </w14:textFill>
        </w:rPr>
      </w:pPr>
      <w:r>
        <w:rPr>
          <w:bCs/>
          <w:color w:val="000000" w:themeColor="text1"/>
          <w14:textFill>
            <w14:solidFill>
              <w14:schemeClr w14:val="tx1"/>
            </w14:solidFill>
          </w14:textFill>
        </w:rPr>
        <w:t>4.3 大气环境影响评价结论</w:t>
      </w:r>
    </w:p>
    <w:p>
      <w:pPr>
        <w:pStyle w:val="91"/>
        <w:ind w:firstLine="480"/>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大气环境预测可知</w:t>
      </w:r>
      <w:r>
        <w:rPr>
          <w:color w:val="000000" w:themeColor="text1"/>
          <w14:textFill>
            <w14:solidFill>
              <w14:schemeClr w14:val="tx1"/>
            </w14:solidFill>
          </w14:textFill>
        </w:rPr>
        <w:t>，火化炉焚烧尾气排放浓度满足《火葬场大气污染物排放标准》（GB13801-2015）中的大气污染物排放限值要求。食堂油烟废气排放浓度满足《饮食业油烟排放标准》（GB18483-2001）表 2 中的小型规模：油烟排放浓度低于2.0mg/m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，油烟净化设施净化效率不低于60%的要求，对周边环境影响较小。</w:t>
      </w:r>
    </w:p>
    <w:p>
      <w:pPr>
        <w:pStyle w:val="24"/>
        <w:adjustRightInd w:val="0"/>
        <w:snapToGrid w:val="0"/>
        <w:spacing w:before="0" w:beforeAutospacing="0" w:after="0" w:afterAutospacing="0"/>
        <w:outlineLvl w:val="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附表</w:t>
      </w:r>
    </w:p>
    <w:p>
      <w:pPr>
        <w:pStyle w:val="24"/>
        <w:adjustRightInd w:val="0"/>
        <w:snapToGrid w:val="0"/>
        <w:spacing w:before="0" w:beforeAutospacing="0" w:after="0" w:afterAutospacing="0"/>
        <w:jc w:val="center"/>
        <w:rPr>
          <w:rFonts w:ascii="Times New Roman" w:hAnsi="Times New Roman" w:eastAsia="方正小标宋_GBK"/>
          <w:color w:val="000000" w:themeColor="text1"/>
          <w:sz w:val="38"/>
          <w:szCs w:val="38"/>
          <w14:textFill>
            <w14:solidFill>
              <w14:schemeClr w14:val="tx1"/>
            </w14:solidFill>
          </w14:textFill>
        </w:rPr>
      </w:pPr>
      <w:r>
        <w:rPr>
          <w:rFonts w:ascii="Times New Roman" w:hAnsi="Times New Roman" w:eastAsia="方正小标宋_GBK"/>
          <w:color w:val="000000" w:themeColor="text1"/>
          <w:sz w:val="38"/>
          <w:szCs w:val="38"/>
          <w14:textFill>
            <w14:solidFill>
              <w14:schemeClr w14:val="tx1"/>
            </w14:solidFill>
          </w14:textFill>
        </w:rPr>
        <w:t>建设项目污染物排放量汇总表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417"/>
        <w:gridCol w:w="1843"/>
        <w:gridCol w:w="1761"/>
        <w:gridCol w:w="1783"/>
        <w:gridCol w:w="1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项目</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分类</w:t>
            </w:r>
          </w:p>
        </w:tc>
        <w:tc>
          <w:tcPr>
            <w:tcW w:w="1417"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污染物名称</w:t>
            </w:r>
          </w:p>
        </w:tc>
        <w:tc>
          <w:tcPr>
            <w:tcW w:w="1701"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现有工程</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排放量（固体废物产生量）</w:t>
            </w: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1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①</w:t>
            </w:r>
            <w:r>
              <w:rPr>
                <w:rFonts w:ascii="Times New Roman" w:eastAsia="黑体"/>
                <w:color w:val="000000" w:themeColor="text1"/>
                <w:kern w:val="21"/>
                <w:sz w:val="21"/>
                <w:szCs w:val="21"/>
                <w14:textFill>
                  <w14:solidFill>
                    <w14:schemeClr w14:val="tx1"/>
                  </w14:solidFill>
                </w14:textFill>
              </w:rPr>
              <w:fldChar w:fldCharType="end"/>
            </w:r>
          </w:p>
        </w:tc>
        <w:tc>
          <w:tcPr>
            <w:tcW w:w="1276"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现有工程</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许可排放量</w:t>
            </w:r>
          </w:p>
          <w:p>
            <w:pPr>
              <w:pStyle w:val="64"/>
              <w:spacing w:beforeLines="0" w:afterLines="0"/>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2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1"/>
                <w:sz w:val="21"/>
                <w:szCs w:val="21"/>
                <w14:textFill>
                  <w14:solidFill>
                    <w14:schemeClr w14:val="tx1"/>
                  </w14:solidFill>
                </w14:textFill>
              </w:rPr>
              <w:t>②</w:t>
            </w:r>
            <w:r>
              <w:rPr>
                <w:rFonts w:ascii="Times New Roman" w:eastAsia="黑体"/>
                <w:color w:val="000000" w:themeColor="text1"/>
                <w:kern w:val="21"/>
                <w:sz w:val="21"/>
                <w:szCs w:val="21"/>
                <w14:textFill>
                  <w14:solidFill>
                    <w14:schemeClr w14:val="tx1"/>
                  </w14:solidFill>
                </w14:textFill>
              </w:rPr>
              <w:fldChar w:fldCharType="end"/>
            </w:r>
          </w:p>
        </w:tc>
        <w:tc>
          <w:tcPr>
            <w:tcW w:w="1417"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在建工程</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排放量（固体废物产生量）</w:t>
            </w: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3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③</w:t>
            </w:r>
            <w:r>
              <w:rPr>
                <w:rFonts w:ascii="Times New Roman" w:eastAsia="黑体"/>
                <w:color w:val="000000" w:themeColor="text1"/>
                <w:kern w:val="21"/>
                <w:sz w:val="21"/>
                <w:szCs w:val="21"/>
                <w14:textFill>
                  <w14:solidFill>
                    <w14:schemeClr w14:val="tx1"/>
                  </w14:solidFill>
                </w14:textFill>
              </w:rPr>
              <w:fldChar w:fldCharType="end"/>
            </w:r>
          </w:p>
        </w:tc>
        <w:tc>
          <w:tcPr>
            <w:tcW w:w="1843"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本项目</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排放量（固体废物产生量）</w:t>
            </w: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4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④</w:t>
            </w:r>
            <w:r>
              <w:rPr>
                <w:rFonts w:ascii="Times New Roman" w:eastAsia="黑体"/>
                <w:color w:val="000000" w:themeColor="text1"/>
                <w:kern w:val="21"/>
                <w:sz w:val="21"/>
                <w:szCs w:val="21"/>
                <w14:textFill>
                  <w14:solidFill>
                    <w14:schemeClr w14:val="tx1"/>
                  </w14:solidFill>
                </w14:textFill>
              </w:rPr>
              <w:fldChar w:fldCharType="end"/>
            </w:r>
          </w:p>
        </w:tc>
        <w:tc>
          <w:tcPr>
            <w:tcW w:w="1761"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以新带老削减量</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（新建项目不填）</w:t>
            </w: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5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⑤</w:t>
            </w:r>
            <w:r>
              <w:rPr>
                <w:rFonts w:ascii="Times New Roman" w:eastAsia="黑体"/>
                <w:color w:val="000000" w:themeColor="text1"/>
                <w:kern w:val="21"/>
                <w:sz w:val="21"/>
                <w:szCs w:val="21"/>
                <w14:textFill>
                  <w14:solidFill>
                    <w14:schemeClr w14:val="tx1"/>
                  </w14:solidFill>
                </w14:textFill>
              </w:rPr>
              <w:fldChar w:fldCharType="end"/>
            </w:r>
          </w:p>
        </w:tc>
        <w:tc>
          <w:tcPr>
            <w:tcW w:w="1783"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本项目建成后</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全厂排放量（固体废物产生量）</w:t>
            </w: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6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⑥</w:t>
            </w:r>
            <w:r>
              <w:rPr>
                <w:rFonts w:ascii="Times New Roman" w:eastAsia="黑体"/>
                <w:color w:val="000000" w:themeColor="text1"/>
                <w:kern w:val="21"/>
                <w:sz w:val="21"/>
                <w:szCs w:val="21"/>
                <w14:textFill>
                  <w14:solidFill>
                    <w14:schemeClr w14:val="tx1"/>
                  </w14:solidFill>
                </w14:textFill>
              </w:rPr>
              <w:fldChar w:fldCharType="end"/>
            </w:r>
          </w:p>
        </w:tc>
        <w:tc>
          <w:tcPr>
            <w:tcW w:w="1002" w:type="dxa"/>
            <w:tcMar>
              <w:left w:w="28" w:type="dxa"/>
              <w:right w:w="28" w:type="dxa"/>
            </w:tcMar>
            <w:vAlign w:val="center"/>
          </w:tcPr>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t>变化量</w:t>
            </w:r>
          </w:p>
          <w:p>
            <w:pPr>
              <w:pStyle w:val="64"/>
              <w:spacing w:beforeLines="0" w:afterLines="0" w:line="240" w:lineRule="auto"/>
              <w:ind w:firstLine="0"/>
              <w:rPr>
                <w:rFonts w:ascii="Times New Roman" w:eastAsia="黑体"/>
                <w:color w:val="000000" w:themeColor="text1"/>
                <w:kern w:val="21"/>
                <w:sz w:val="21"/>
                <w:szCs w:val="21"/>
                <w14:textFill>
                  <w14:solidFill>
                    <w14:schemeClr w14:val="tx1"/>
                  </w14:solidFill>
                </w14:textFill>
              </w:rPr>
            </w:pPr>
            <w:r>
              <w:rPr>
                <w:rFonts w:ascii="Times New Roman" w:eastAsia="黑体"/>
                <w:color w:val="000000" w:themeColor="text1"/>
                <w:kern w:val="21"/>
                <w:sz w:val="21"/>
                <w:szCs w:val="21"/>
                <w14:textFill>
                  <w14:solidFill>
                    <w14:schemeClr w14:val="tx1"/>
                  </w14:solidFill>
                </w14:textFill>
              </w:rPr>
              <w:fldChar w:fldCharType="begin"/>
            </w:r>
            <w:r>
              <w:rPr>
                <w:rFonts w:ascii="Times New Roman" w:eastAsia="黑体"/>
                <w:color w:val="000000" w:themeColor="text1"/>
                <w:kern w:val="21"/>
                <w:sz w:val="21"/>
                <w:szCs w:val="21"/>
                <w14:textFill>
                  <w14:solidFill>
                    <w14:schemeClr w14:val="tx1"/>
                  </w14:solidFill>
                </w14:textFill>
              </w:rPr>
              <w:instrText xml:space="preserve"> = 7 \* GB3 \* MERGEFORMAT </w:instrText>
            </w:r>
            <w:r>
              <w:rPr>
                <w:rFonts w:ascii="Times New Roman" w:eastAsia="黑体"/>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⑦</w:t>
            </w:r>
            <w:r>
              <w:rPr>
                <w:rFonts w:ascii="Times New Roman" w:eastAsia="黑体"/>
                <w:color w:val="000000" w:themeColor="text1"/>
                <w:kern w:val="21"/>
                <w:sz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废气</w:t>
            </w:r>
          </w:p>
        </w:tc>
        <w:tc>
          <w:tcPr>
            <w:tcW w:w="1417" w:type="dxa"/>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c>
          <w:tcPr>
            <w:tcW w:w="1761"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0.0928</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0.0928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c>
          <w:tcPr>
            <w:tcW w:w="1761" w:type="dxa"/>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0.028</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NOx</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c>
          <w:tcPr>
            <w:tcW w:w="176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0.082</w:t>
            </w:r>
          </w:p>
        </w:tc>
        <w:tc>
          <w:tcPr>
            <w:tcW w:w="176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0.082</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HCl</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0.023</w:t>
            </w:r>
          </w:p>
        </w:tc>
        <w:tc>
          <w:tcPr>
            <w:tcW w:w="176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0.023</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汞</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0.000024</w:t>
            </w:r>
          </w:p>
        </w:tc>
        <w:tc>
          <w:tcPr>
            <w:tcW w:w="176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0.000024</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0.000024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contextualSpacing/>
              <w:jc w:val="center"/>
              <w:rPr>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二噁英</w:t>
            </w:r>
          </w:p>
        </w:tc>
        <w:tc>
          <w:tcPr>
            <w:tcW w:w="170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5904ugTEQ/a</w:t>
            </w:r>
          </w:p>
        </w:tc>
        <w:tc>
          <w:tcPr>
            <w:tcW w:w="1761" w:type="dxa"/>
            <w:vAlign w:val="center"/>
          </w:tcPr>
          <w:p>
            <w:pPr>
              <w:jc w:val="center"/>
              <w:rPr>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contextualSpacing/>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5904ugTEQ/a</w:t>
            </w:r>
          </w:p>
        </w:tc>
        <w:tc>
          <w:tcPr>
            <w:tcW w:w="1002" w:type="dxa"/>
            <w:vAlign w:val="center"/>
          </w:tcPr>
          <w:p>
            <w:pPr>
              <w:contextualSpacing/>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5904ugTEQ/a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废水</w:t>
            </w: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pH</w:t>
            </w:r>
          </w:p>
        </w:tc>
        <w:tc>
          <w:tcPr>
            <w:tcW w:w="170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6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0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170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4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0.238</w:t>
            </w:r>
          </w:p>
        </w:tc>
        <w:tc>
          <w:tcPr>
            <w:tcW w:w="176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78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0.238</w:t>
            </w:r>
          </w:p>
        </w:tc>
        <w:tc>
          <w:tcPr>
            <w:tcW w:w="100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p>
        </w:tc>
        <w:tc>
          <w:tcPr>
            <w:tcW w:w="170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4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0.124</w:t>
            </w:r>
          </w:p>
        </w:tc>
        <w:tc>
          <w:tcPr>
            <w:tcW w:w="176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78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0.124</w:t>
            </w:r>
          </w:p>
        </w:tc>
        <w:tc>
          <w:tcPr>
            <w:tcW w:w="100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70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276"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417"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4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0.093</w:t>
            </w:r>
          </w:p>
        </w:tc>
        <w:tc>
          <w:tcPr>
            <w:tcW w:w="1761" w:type="dxa"/>
            <w:vAlign w:val="center"/>
          </w:tcPr>
          <w:p>
            <w:pPr>
              <w:pStyle w:val="64"/>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78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0.093</w:t>
            </w:r>
          </w:p>
        </w:tc>
        <w:tc>
          <w:tcPr>
            <w:tcW w:w="100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p>
        </w:tc>
        <w:tc>
          <w:tcPr>
            <w:tcW w:w="1701"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84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0.031</w:t>
            </w:r>
          </w:p>
        </w:tc>
        <w:tc>
          <w:tcPr>
            <w:tcW w:w="1761"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8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0.031</w:t>
            </w:r>
          </w:p>
        </w:tc>
        <w:tc>
          <w:tcPr>
            <w:tcW w:w="100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动植物油</w:t>
            </w:r>
          </w:p>
        </w:tc>
        <w:tc>
          <w:tcPr>
            <w:tcW w:w="1701" w:type="dxa"/>
            <w:vAlign w:val="center"/>
          </w:tcPr>
          <w:p>
            <w:pPr>
              <w:jc w:val="center"/>
              <w:rPr>
                <w:snapToGrid w:val="0"/>
                <w:color w:val="000000" w:themeColor="text1"/>
                <w:kern w:val="21"/>
                <w:szCs w:val="21"/>
                <w14:textFill>
                  <w14:solidFill>
                    <w14:schemeClr w14:val="tx1"/>
                  </w14:solidFill>
                </w14:textFill>
              </w:rPr>
            </w:pPr>
          </w:p>
        </w:tc>
        <w:tc>
          <w:tcPr>
            <w:tcW w:w="1276" w:type="dxa"/>
            <w:vAlign w:val="center"/>
          </w:tcPr>
          <w:p>
            <w:pPr>
              <w:jc w:val="center"/>
              <w:rPr>
                <w:snapToGrid w:val="0"/>
                <w:color w:val="000000" w:themeColor="text1"/>
                <w:kern w:val="21"/>
                <w:szCs w:val="21"/>
                <w14:textFill>
                  <w14:solidFill>
                    <w14:schemeClr w14:val="tx1"/>
                  </w14:solidFill>
                </w14:textFill>
              </w:rPr>
            </w:pPr>
          </w:p>
        </w:tc>
        <w:tc>
          <w:tcPr>
            <w:tcW w:w="1417" w:type="dxa"/>
            <w:vAlign w:val="center"/>
          </w:tcPr>
          <w:p>
            <w:pPr>
              <w:jc w:val="center"/>
              <w:rPr>
                <w:snapToGrid w:val="0"/>
                <w:color w:val="000000" w:themeColor="text1"/>
                <w:kern w:val="21"/>
                <w:szCs w:val="21"/>
                <w14:textFill>
                  <w14:solidFill>
                    <w14:schemeClr w14:val="tx1"/>
                  </w14:solidFill>
                </w14:textFill>
              </w:rPr>
            </w:pPr>
          </w:p>
        </w:tc>
        <w:tc>
          <w:tcPr>
            <w:tcW w:w="184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0.0007</w:t>
            </w:r>
          </w:p>
        </w:tc>
        <w:tc>
          <w:tcPr>
            <w:tcW w:w="1761" w:type="dxa"/>
            <w:vAlign w:val="center"/>
          </w:tcPr>
          <w:p>
            <w:pPr>
              <w:jc w:val="center"/>
              <w:rPr>
                <w:snapToGrid w:val="0"/>
                <w:color w:val="000000" w:themeColor="text1"/>
                <w:kern w:val="21"/>
                <w:szCs w:val="21"/>
                <w14:textFill>
                  <w14:solidFill>
                    <w14:schemeClr w14:val="tx1"/>
                  </w14:solidFill>
                </w14:textFill>
              </w:rPr>
            </w:pPr>
          </w:p>
        </w:tc>
        <w:tc>
          <w:tcPr>
            <w:tcW w:w="1783"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0.0007</w:t>
            </w:r>
          </w:p>
        </w:tc>
        <w:tc>
          <w:tcPr>
            <w:tcW w:w="100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总氮</w:t>
            </w:r>
          </w:p>
        </w:tc>
        <w:tc>
          <w:tcPr>
            <w:tcW w:w="1701" w:type="dxa"/>
            <w:vAlign w:val="center"/>
          </w:tcPr>
          <w:p>
            <w:pPr>
              <w:jc w:val="center"/>
              <w:rPr>
                <w:snapToGrid w:val="0"/>
                <w:color w:val="000000" w:themeColor="text1"/>
                <w:kern w:val="21"/>
                <w:szCs w:val="21"/>
                <w14:textFill>
                  <w14:solidFill>
                    <w14:schemeClr w14:val="tx1"/>
                  </w14:solidFill>
                </w14:textFill>
              </w:rPr>
            </w:pPr>
          </w:p>
        </w:tc>
        <w:tc>
          <w:tcPr>
            <w:tcW w:w="1276" w:type="dxa"/>
            <w:vAlign w:val="center"/>
          </w:tcPr>
          <w:p>
            <w:pPr>
              <w:jc w:val="center"/>
              <w:rPr>
                <w:snapToGrid w:val="0"/>
                <w:color w:val="000000" w:themeColor="text1"/>
                <w:kern w:val="21"/>
                <w:szCs w:val="21"/>
                <w14:textFill>
                  <w14:solidFill>
                    <w14:schemeClr w14:val="tx1"/>
                  </w14:solidFill>
                </w14:textFill>
              </w:rPr>
            </w:pPr>
          </w:p>
        </w:tc>
        <w:tc>
          <w:tcPr>
            <w:tcW w:w="1417" w:type="dxa"/>
            <w:vAlign w:val="center"/>
          </w:tcPr>
          <w:p>
            <w:pPr>
              <w:jc w:val="center"/>
              <w:rPr>
                <w:snapToGrid w:val="0"/>
                <w:color w:val="000000" w:themeColor="text1"/>
                <w:kern w:val="21"/>
                <w:szCs w:val="21"/>
                <w14:textFill>
                  <w14:solidFill>
                    <w14:schemeClr w14:val="tx1"/>
                  </w14:solidFill>
                </w14:textFill>
              </w:rPr>
            </w:pP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c>
          <w:tcPr>
            <w:tcW w:w="1761" w:type="dxa"/>
            <w:vAlign w:val="center"/>
          </w:tcPr>
          <w:p>
            <w:pPr>
              <w:jc w:val="center"/>
              <w:rPr>
                <w:snapToGrid w:val="0"/>
                <w:color w:val="000000" w:themeColor="text1"/>
                <w:kern w:val="21"/>
                <w:szCs w:val="21"/>
                <w14:textFill>
                  <w14:solidFill>
                    <w14:schemeClr w14:val="tx1"/>
                  </w14:solidFill>
                </w14:textFill>
              </w:rPr>
            </w:pP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总磷</w:t>
            </w:r>
          </w:p>
        </w:tc>
        <w:tc>
          <w:tcPr>
            <w:tcW w:w="1701" w:type="dxa"/>
            <w:vAlign w:val="center"/>
          </w:tcPr>
          <w:p>
            <w:pPr>
              <w:jc w:val="center"/>
              <w:rPr>
                <w:snapToGrid w:val="0"/>
                <w:color w:val="000000" w:themeColor="text1"/>
                <w:kern w:val="21"/>
                <w:szCs w:val="21"/>
                <w14:textFill>
                  <w14:solidFill>
                    <w14:schemeClr w14:val="tx1"/>
                  </w14:solidFill>
                </w14:textFill>
              </w:rPr>
            </w:pPr>
          </w:p>
        </w:tc>
        <w:tc>
          <w:tcPr>
            <w:tcW w:w="1276" w:type="dxa"/>
            <w:vAlign w:val="center"/>
          </w:tcPr>
          <w:p>
            <w:pPr>
              <w:jc w:val="center"/>
              <w:rPr>
                <w:snapToGrid w:val="0"/>
                <w:color w:val="000000" w:themeColor="text1"/>
                <w:kern w:val="21"/>
                <w:szCs w:val="21"/>
                <w14:textFill>
                  <w14:solidFill>
                    <w14:schemeClr w14:val="tx1"/>
                  </w14:solidFill>
                </w14:textFill>
              </w:rPr>
            </w:pPr>
          </w:p>
        </w:tc>
        <w:tc>
          <w:tcPr>
            <w:tcW w:w="1417" w:type="dxa"/>
            <w:vAlign w:val="center"/>
          </w:tcPr>
          <w:p>
            <w:pPr>
              <w:jc w:val="center"/>
              <w:rPr>
                <w:snapToGrid w:val="0"/>
                <w:color w:val="000000" w:themeColor="text1"/>
                <w:kern w:val="21"/>
                <w:szCs w:val="21"/>
                <w14:textFill>
                  <w14:solidFill>
                    <w14:schemeClr w14:val="tx1"/>
                  </w14:solidFill>
                </w14:textFill>
              </w:rPr>
            </w:pP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1761" w:type="dxa"/>
            <w:vAlign w:val="center"/>
          </w:tcPr>
          <w:p>
            <w:pPr>
              <w:jc w:val="center"/>
              <w:rPr>
                <w:snapToGrid w:val="0"/>
                <w:color w:val="000000" w:themeColor="text1"/>
                <w:kern w:val="21"/>
                <w:szCs w:val="21"/>
                <w14:textFill>
                  <w14:solidFill>
                    <w14:schemeClr w14:val="tx1"/>
                  </w14:solidFill>
                </w14:textFill>
              </w:rPr>
            </w:pP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LAS</w:t>
            </w:r>
          </w:p>
        </w:tc>
        <w:tc>
          <w:tcPr>
            <w:tcW w:w="1701" w:type="dxa"/>
            <w:vAlign w:val="center"/>
          </w:tcPr>
          <w:p>
            <w:pPr>
              <w:jc w:val="center"/>
              <w:rPr>
                <w:snapToGrid w:val="0"/>
                <w:color w:val="000000" w:themeColor="text1"/>
                <w:kern w:val="21"/>
                <w:szCs w:val="21"/>
                <w14:textFill>
                  <w14:solidFill>
                    <w14:schemeClr w14:val="tx1"/>
                  </w14:solidFill>
                </w14:textFill>
              </w:rPr>
            </w:pPr>
          </w:p>
        </w:tc>
        <w:tc>
          <w:tcPr>
            <w:tcW w:w="1276" w:type="dxa"/>
            <w:vAlign w:val="center"/>
          </w:tcPr>
          <w:p>
            <w:pPr>
              <w:jc w:val="center"/>
              <w:rPr>
                <w:snapToGrid w:val="0"/>
                <w:color w:val="000000" w:themeColor="text1"/>
                <w:kern w:val="21"/>
                <w:szCs w:val="21"/>
                <w14:textFill>
                  <w14:solidFill>
                    <w14:schemeClr w14:val="tx1"/>
                  </w14:solidFill>
                </w14:textFill>
              </w:rPr>
            </w:pPr>
          </w:p>
        </w:tc>
        <w:tc>
          <w:tcPr>
            <w:tcW w:w="1417" w:type="dxa"/>
            <w:vAlign w:val="center"/>
          </w:tcPr>
          <w:p>
            <w:pPr>
              <w:jc w:val="center"/>
              <w:rPr>
                <w:snapToGrid w:val="0"/>
                <w:color w:val="000000" w:themeColor="text1"/>
                <w:kern w:val="21"/>
                <w:szCs w:val="21"/>
                <w14:textFill>
                  <w14:solidFill>
                    <w14:schemeClr w14:val="tx1"/>
                  </w14:solidFill>
                </w14:textFill>
              </w:rPr>
            </w:pP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761" w:type="dxa"/>
            <w:vAlign w:val="center"/>
          </w:tcPr>
          <w:p>
            <w:pPr>
              <w:jc w:val="center"/>
              <w:rPr>
                <w:snapToGrid w:val="0"/>
                <w:color w:val="000000" w:themeColor="text1"/>
                <w:kern w:val="21"/>
                <w:szCs w:val="21"/>
                <w14:textFill>
                  <w14:solidFill>
                    <w14:schemeClr w14:val="tx1"/>
                  </w14:solidFill>
                </w14:textFill>
              </w:rPr>
            </w:pP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一般工业</w:t>
            </w:r>
          </w:p>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ascii="Times New Roman"/>
                <w:color w:val="000000" w:themeColor="text1"/>
                <w:kern w:val="21"/>
                <w:sz w:val="21"/>
                <w:szCs w:val="21"/>
                <w14:textFill>
                  <w14:solidFill>
                    <w14:schemeClr w14:val="tx1"/>
                  </w14:solidFill>
                </w14:textFill>
              </w:rPr>
              <w:t>固体废物</w:t>
            </w:r>
          </w:p>
        </w:tc>
        <w:tc>
          <w:tcPr>
            <w:tcW w:w="1417" w:type="dxa"/>
            <w:vAlign w:val="center"/>
          </w:tcPr>
          <w:p>
            <w:pPr>
              <w:jc w:val="center"/>
              <w:rPr>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员工生活垃圾</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4.95</w:t>
            </w:r>
          </w:p>
        </w:tc>
        <w:tc>
          <w:tcPr>
            <w:tcW w:w="176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4.95</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骨灰</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76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r>
              <w:rPr>
                <w:rFonts w:hint="eastAsia" w:ascii="Times New Roman"/>
                <w:color w:val="000000" w:themeColor="text1"/>
                <w:kern w:val="21"/>
                <w:sz w:val="21"/>
                <w:szCs w:val="21"/>
                <w14:textFill>
                  <w14:solidFill>
                    <w14:schemeClr w14:val="tx1"/>
                  </w14:solidFill>
                </w14:textFill>
              </w:rPr>
              <w:t>危险固废</w:t>
            </w: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布袋除尘灰渣</w:t>
            </w:r>
          </w:p>
        </w:tc>
        <w:tc>
          <w:tcPr>
            <w:tcW w:w="1701"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9.50</w:t>
            </w:r>
          </w:p>
        </w:tc>
        <w:tc>
          <w:tcPr>
            <w:tcW w:w="1761"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9.50</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c>
          <w:tcPr>
            <w:tcW w:w="176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64"/>
              <w:spacing w:beforeLines="0" w:afterLines="0" w:line="240" w:lineRule="auto"/>
              <w:ind w:firstLine="0"/>
              <w:rPr>
                <w:rFonts w:ascii="Times New Roman"/>
                <w:color w:val="000000" w:themeColor="text1"/>
                <w:kern w:val="21"/>
                <w:sz w:val="21"/>
                <w:szCs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701"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417" w:type="dxa"/>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761"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0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r>
    </w:tbl>
    <w:p>
      <w:pPr>
        <w:pStyle w:val="64"/>
        <w:spacing w:before="192" w:beforeLines="80" w:after="24"/>
        <w:jc w:val="left"/>
        <w:rPr>
          <w:color w:val="000000" w:themeColor="text1"/>
          <w14:textFill>
            <w14:solidFill>
              <w14:schemeClr w14:val="tx1"/>
            </w14:solidFill>
          </w14:textFill>
        </w:rPr>
      </w:pPr>
      <w:r>
        <w:rPr>
          <w:rFonts w:ascii="Times New Roman"/>
          <w:color w:val="000000" w:themeColor="text1"/>
          <w:kern w:val="21"/>
          <w:szCs w:val="21"/>
          <w14:textFill>
            <w14:solidFill>
              <w14:schemeClr w14:val="tx1"/>
            </w14:solidFill>
          </w14:textFill>
        </w:rPr>
        <w:t>注：</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6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1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3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4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5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7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6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color w:val="000000" w:themeColor="text1"/>
          <w:kern w:val="21"/>
          <w:szCs w:val="21"/>
          <w14:textFill>
            <w14:solidFill>
              <w14:schemeClr w14:val="tx1"/>
            </w14:solidFill>
          </w14:textFill>
        </w:rPr>
        <w:fldChar w:fldCharType="end"/>
      </w:r>
      <w:r>
        <w:rPr>
          <w:rFonts w:ascii="Times New Roman"/>
          <w:color w:val="000000" w:themeColor="text1"/>
          <w:kern w:val="21"/>
          <w:szCs w:val="21"/>
          <w14:textFill>
            <w14:solidFill>
              <w14:schemeClr w14:val="tx1"/>
            </w14:solidFill>
          </w14:textFill>
        </w:rPr>
        <w:t>-</w:t>
      </w:r>
      <w:r>
        <w:rPr>
          <w:rFonts w:ascii="Times New Roman"/>
          <w:color w:val="000000" w:themeColor="text1"/>
          <w:kern w:val="21"/>
          <w:szCs w:val="21"/>
          <w14:textFill>
            <w14:solidFill>
              <w14:schemeClr w14:val="tx1"/>
            </w14:solidFill>
          </w14:textFill>
        </w:rPr>
        <w:fldChar w:fldCharType="begin"/>
      </w:r>
      <w:r>
        <w:rPr>
          <w:rFonts w:ascii="Times New Roman"/>
          <w:color w:val="000000" w:themeColor="text1"/>
          <w:kern w:val="21"/>
          <w:szCs w:val="21"/>
          <w14:textFill>
            <w14:solidFill>
              <w14:schemeClr w14:val="tx1"/>
            </w14:solidFill>
          </w14:textFill>
        </w:rPr>
        <w:instrText xml:space="preserve"> = 1 \* GB3 \* MERGEFORMAT </w:instrText>
      </w:r>
      <w:r>
        <w:rPr>
          <w:rFonts w:ascii="Times New Roman"/>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color w:val="000000" w:themeColor="text1"/>
          <w:kern w:val="21"/>
          <w:szCs w:val="21"/>
          <w14:textFill>
            <w14:solidFill>
              <w14:schemeClr w14:val="tx1"/>
            </w14:solidFill>
          </w14:textFill>
        </w:rPr>
        <w:fldChar w:fldCharType="end"/>
      </w:r>
    </w:p>
    <w:sectPr>
      <w:footerReference r:id="rId11"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A0204"/>
    <w:charset w:val="00"/>
    <w:family w:val="roman"/>
    <w:pitch w:val="default"/>
    <w:sig w:usb0="E00002FF" w:usb1="4000045F"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ingLiU">
    <w:panose1 w:val="02020509000000000000"/>
    <w:charset w:val="88"/>
    <w:family w:val="modern"/>
    <w:pitch w:val="default"/>
    <w:sig w:usb0="A00002FF" w:usb1="28CFFCFA" w:usb2="00000016" w:usb3="00000000" w:csb0="00100001" w:csb1="00000000"/>
  </w:font>
  <w:font w:name="方正小标宋_GBK">
    <w:panose1 w:val="02000000000000000000"/>
    <w:charset w:val="86"/>
    <w:family w:val="auto"/>
    <w:pitch w:val="default"/>
    <w:sig w:usb0="A00002BF" w:usb1="38CF7CFA" w:usb2="00082016" w:usb3="00000000" w:csb0="00040001" w:csb1="00000000"/>
  </w:font>
  <w:font w:name="MS Gothic">
    <w:panose1 w:val="020B0609070205080204"/>
    <w:charset w:val="80"/>
    <w:family w:val="modern"/>
    <w:pitch w:val="default"/>
    <w:sig w:usb0="E00002FF" w:usb1="6AC7FDFB" w:usb2="00000012" w:usb3="00000000" w:csb0="4002009F" w:csb1="DFD70000"/>
  </w:font>
  <w:font w:name="TimesNewRomanPS-BoldMT">
    <w:altName w:val="宋体"/>
    <w:panose1 w:val="00000000000000000000"/>
    <w:charset w:val="86"/>
    <w:family w:val="auto"/>
    <w:pitch w:val="default"/>
    <w:sig w:usb0="00000000" w:usb1="00000000" w:usb2="00000010" w:usb3="00000000" w:csb0="00040000"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1"/>
      </w:rPr>
    </w:pPr>
    <w:r>
      <w:fldChar w:fldCharType="begin"/>
    </w:r>
    <w:r>
      <w:rPr>
        <w:rStyle w:val="31"/>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2"/>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2"/>
      <w:rPr>
        <w:rStyle w:val="31"/>
      </w:rPr>
    </w:pPr>
    <w:r>
      <w:fldChar w:fldCharType="begin"/>
    </w:r>
    <w:r>
      <w:rPr>
        <w:rStyle w:val="31"/>
      </w:rPr>
      <w:instrText xml:space="preserve">PAGE  </w:instrText>
    </w:r>
    <w:r>
      <w:fldChar w:fldCharType="separate"/>
    </w:r>
    <w:r>
      <w:rPr>
        <w:rStyle w:val="31"/>
      </w:rPr>
      <w:t>69</w:t>
    </w:r>
    <w:r>
      <w:fldChar w:fldCharType="end"/>
    </w:r>
  </w:p>
  <w:p>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61312" behindDoc="0" locked="0" layoutInCell="1" allowOverlap="1">
              <wp:simplePos x="0" y="0"/>
              <wp:positionH relativeFrom="margin">
                <wp:posOffset>2945130</wp:posOffset>
              </wp:positionH>
              <wp:positionV relativeFrom="paragraph">
                <wp:posOffset>-67945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2"/>
                            <w:pBdr>
                              <w:top w:val="none" w:color="auto" w:sz="0" w:space="1"/>
                              <w:left w:val="none" w:color="auto" w:sz="0" w:space="4"/>
                              <w:bottom w:val="none" w:color="auto" w:sz="0" w:space="1"/>
                              <w:right w:val="none" w:color="auto" w:sz="0" w:space="4"/>
                            </w:pBdr>
                            <w:jc w:val="center"/>
                          </w:pPr>
                          <w:r>
                            <w:fldChar w:fldCharType="begin"/>
                          </w:r>
                          <w:r>
                            <w:rPr>
                              <w:rStyle w:val="31"/>
                            </w:rPr>
                            <w:instrText xml:space="preserve"> PAGE </w:instrText>
                          </w:r>
                          <w:r>
                            <w:fldChar w:fldCharType="separate"/>
                          </w:r>
                          <w:r>
                            <w:rPr>
                              <w:rStyle w:val="31"/>
                            </w:rPr>
                            <w:t>68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31.9pt;margin-top:-5.35pt;height:144pt;width:144pt;mso-position-horizontal-relative:margin;mso-wrap-style:none;z-index:251661312;mso-width-relative:page;mso-height-relative:page;" filled="f" stroked="f" coordsize="21600,21600" o:gfxdata="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p0+J9gAAAALAQAADwAAAAAAAAABACAAAAAiAAAAZHJz&#10;L2Rvd25yZXYueG1sUEsBAhQAFAAAAAgAh07iQOvOANbLAQAAmAMAAA4AAAAAAAAAAQAgAAAAJwEA&#10;AGRycy9lMm9Eb2MueG1sUEsFBgAAAAAGAAYAWQEAAGQFAAAAAA==&#10;">
              <v:fill on="f" focussize="0,0"/>
              <v:stroke on="f" weight="0.5pt"/>
              <v:imagedata o:title=""/>
              <o:lock v:ext="edit" aspectratio="f"/>
              <v:textbox inset="0mm,0mm,0mm,0mm" style="mso-fit-shape-to-text:t;">
                <w:txbxContent>
                  <w:p>
                    <w:pPr>
                      <w:pStyle w:val="22"/>
                      <w:pBdr>
                        <w:top w:val="none" w:color="auto" w:sz="0" w:space="1"/>
                        <w:left w:val="none" w:color="auto" w:sz="0" w:space="4"/>
                        <w:bottom w:val="none" w:color="auto" w:sz="0" w:space="1"/>
                        <w:right w:val="none" w:color="auto" w:sz="0" w:space="4"/>
                      </w:pBdr>
                      <w:jc w:val="center"/>
                    </w:pPr>
                    <w:r>
                      <w:fldChar w:fldCharType="begin"/>
                    </w:r>
                    <w:r>
                      <w:rPr>
                        <w:rStyle w:val="31"/>
                      </w:rPr>
                      <w:instrText xml:space="preserve"> PAGE </w:instrText>
                    </w:r>
                    <w:r>
                      <w:fldChar w:fldCharType="separate"/>
                    </w:r>
                    <w:r>
                      <w:rPr>
                        <w:rStyle w:val="31"/>
                      </w:rP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8B6AC"/>
    <w:multiLevelType w:val="multilevel"/>
    <w:tmpl w:val="9498B6AC"/>
    <w:lvl w:ilvl="0" w:tentative="0">
      <w:start w:val="1"/>
      <w:numFmt w:val="decimal"/>
      <w:suff w:val="space"/>
      <w:lvlText w:val="第%1章 "/>
      <w:lvlJc w:val="left"/>
      <w:pPr>
        <w:ind w:left="567" w:hanging="567"/>
      </w:pPr>
      <w:rPr>
        <w:rFonts w:hint="eastAsia"/>
        <w:color w:val="auto"/>
      </w:rPr>
    </w:lvl>
    <w:lvl w:ilvl="1" w:tentative="0">
      <w:start w:val="1"/>
      <w:numFmt w:val="decimal"/>
      <w:suff w:val="space"/>
      <w:lvlText w:val="%1.%2."/>
      <w:lvlJc w:val="left"/>
      <w:pPr>
        <w:ind w:left="882" w:hanging="567"/>
      </w:pPr>
      <w:rPr>
        <w:rFonts w:hint="eastAsia" w:cs="楷体_GB2312"/>
        <w:i w:val="0"/>
        <w:iCs w:val="0"/>
        <w:caps w:val="0"/>
        <w:smallCaps w:val="0"/>
        <w:strike w:val="0"/>
        <w:dstrike w:val="0"/>
        <w:vanish w:val="0"/>
        <w:spacing w:val="0"/>
        <w:position w:val="0"/>
        <w:u w:val="none"/>
        <w:vertAlign w:val="baseline"/>
      </w:rPr>
    </w:lvl>
    <w:lvl w:ilvl="2" w:tentative="0">
      <w:start w:val="1"/>
      <w:numFmt w:val="decimal"/>
      <w:suff w:val="space"/>
      <w:lvlText w:val="%1.%2.%3."/>
      <w:lvlJc w:val="left"/>
      <w:pPr>
        <w:ind w:left="567" w:hanging="567"/>
      </w:pPr>
      <w:rPr>
        <w:rFonts w:hint="eastAsia"/>
      </w:rPr>
    </w:lvl>
    <w:lvl w:ilvl="3" w:tentative="0">
      <w:start w:val="1"/>
      <w:numFmt w:val="decimal"/>
      <w:suff w:val="space"/>
      <w:lvlText w:val="%1.%2.%3.%4."/>
      <w:lvlJc w:val="left"/>
      <w:pPr>
        <w:ind w:left="567" w:hanging="567"/>
      </w:pPr>
      <w:rPr>
        <w:rFonts w:hint="default" w:cs="楷体_GB2312"/>
        <w:b/>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567" w:hanging="567"/>
      </w:pPr>
      <w:rPr>
        <w:rFonts w:hint="eastAsia"/>
      </w:rPr>
    </w:lvl>
    <w:lvl w:ilvl="5" w:tentative="0">
      <w:start w:val="1"/>
      <w:numFmt w:val="decimal"/>
      <w:lvlRestart w:val="2"/>
      <w:pStyle w:val="102"/>
      <w:suff w:val="space"/>
      <w:lvlText w:val="表%6"/>
      <w:lvlJc w:val="center"/>
      <w:pPr>
        <w:tabs>
          <w:tab w:val="left" w:pos="2019"/>
        </w:tabs>
        <w:ind w:left="2019" w:firstLine="0"/>
      </w:pPr>
      <w:rPr>
        <w:rFonts w:hint="default" w:ascii="宋体" w:hAnsi="宋体" w:eastAsia="宋体" w:cs="宋体"/>
        <w:b/>
        <w:bCs w:val="0"/>
        <w:i w:val="0"/>
        <w:iCs w:val="0"/>
        <w:caps w:val="0"/>
        <w:smallCaps w:val="0"/>
        <w:strike w:val="0"/>
        <w:dstrike w:val="0"/>
        <w:vanish w:val="0"/>
        <w:color w:val="000000"/>
        <w:spacing w:val="0"/>
        <w:position w:val="0"/>
        <w:u w:val="none"/>
        <w:vertAlign w:val="baseline"/>
      </w:rPr>
    </w:lvl>
    <w:lvl w:ilvl="6" w:tentative="0">
      <w:start w:val="2"/>
      <w:numFmt w:val="decimal"/>
      <w:lvlRestart w:val="2"/>
      <w:suff w:val="space"/>
      <w:lvlText w:val="图%7"/>
      <w:lvlJc w:val="center"/>
      <w:pPr>
        <w:tabs>
          <w:tab w:val="left" w:pos="0"/>
        </w:tabs>
        <w:ind w:left="0" w:firstLine="0"/>
      </w:pPr>
      <w:rPr>
        <w:rFonts w:hint="default" w:ascii="宋体" w:hAnsi="宋体" w:eastAsia="宋体" w:cs="宋体"/>
        <w:b/>
        <w:bCs w:val="0"/>
        <w:i w:val="0"/>
        <w:iCs w:val="0"/>
        <w:caps w:val="0"/>
        <w:smallCaps w:val="0"/>
        <w:strike w:val="0"/>
        <w:dstrike w:val="0"/>
        <w:vanish w:val="0"/>
        <w:color w:val="000000"/>
        <w:spacing w:val="0"/>
        <w:position w:val="0"/>
        <w:u w:val="none"/>
        <w:vertAlign w:val="baseline"/>
      </w:rPr>
    </w:lvl>
    <w:lvl w:ilvl="7" w:tentative="0">
      <w:start w:val="1"/>
      <w:numFmt w:val="decimal"/>
      <w:lvlRestart w:val="2"/>
      <w:suff w:val="nothing"/>
      <w:lvlText w:val="G%1.%2-%8"/>
      <w:lvlJc w:val="left"/>
      <w:pPr>
        <w:ind w:left="283" w:firstLine="0"/>
      </w:pPr>
      <w:rPr>
        <w:rFonts w:hint="eastAsia" w:cs="楷体_GB2312"/>
        <w:b w:val="0"/>
        <w:bCs w:val="0"/>
        <w:i w:val="0"/>
        <w:iCs w:val="0"/>
        <w:caps w:val="0"/>
        <w:smallCaps w:val="0"/>
        <w:strike w:val="0"/>
        <w:dstrike w:val="0"/>
        <w:vanish w:val="0"/>
        <w:spacing w:val="0"/>
        <w:position w:val="0"/>
        <w:u w:val="none"/>
        <w:vertAlign w:val="baseline"/>
      </w:rPr>
    </w:lvl>
    <w:lvl w:ilvl="8" w:tentative="0">
      <w:start w:val="1"/>
      <w:numFmt w:val="decimal"/>
      <w:lvlText w:val="%1.%2.%3.%4.%5.%6.%7.%8.%9."/>
      <w:lvlJc w:val="left"/>
      <w:pPr>
        <w:ind w:left="1559" w:hanging="1559"/>
      </w:pPr>
      <w:rPr>
        <w:rFonts w:hint="eastAsia"/>
      </w:rPr>
    </w:lvl>
  </w:abstractNum>
  <w:abstractNum w:abstractNumId="1">
    <w:nsid w:val="00000005"/>
    <w:multiLevelType w:val="multilevel"/>
    <w:tmpl w:val="00000005"/>
    <w:lvl w:ilvl="0" w:tentative="0">
      <w:start w:val="1"/>
      <w:numFmt w:val="decimal"/>
      <w:pStyle w:val="14"/>
      <w:lvlText w:val="%1"/>
      <w:lvlJc w:val="left"/>
      <w:pPr>
        <w:tabs>
          <w:tab w:val="left" w:pos="360"/>
        </w:tabs>
        <w:ind w:left="0" w:firstLine="0"/>
      </w:pPr>
      <w:rPr>
        <w:rFonts w:hint="default"/>
      </w:rPr>
    </w:lvl>
    <w:lvl w:ilvl="1" w:tentative="0">
      <w:start w:val="1"/>
      <w:numFmt w:val="decimal"/>
      <w:lvlText w:val="%1.%2"/>
      <w:lvlJc w:val="left"/>
      <w:pPr>
        <w:tabs>
          <w:tab w:val="left" w:pos="720"/>
        </w:tabs>
        <w:ind w:left="0" w:firstLine="0"/>
      </w:pPr>
      <w:rPr>
        <w:rFonts w:hint="default"/>
      </w:rPr>
    </w:lvl>
    <w:lvl w:ilvl="2" w:tentative="0">
      <w:start w:val="1"/>
      <w:numFmt w:val="decimal"/>
      <w:lvlText w:val="%1.%2.%3"/>
      <w:lvlJc w:val="left"/>
      <w:pPr>
        <w:tabs>
          <w:tab w:val="left" w:pos="1080"/>
        </w:tabs>
        <w:ind w:left="0" w:firstLine="0"/>
      </w:pPr>
      <w:rPr>
        <w:rFonts w:hint="default"/>
      </w:rPr>
    </w:lvl>
    <w:lvl w:ilvl="3" w:tentative="0">
      <w:start w:val="1"/>
      <w:numFmt w:val="decimal"/>
      <w:lvlText w:val="%1.%2.%3.%4"/>
      <w:lvlJc w:val="left"/>
      <w:pPr>
        <w:tabs>
          <w:tab w:val="left" w:pos="1440"/>
        </w:tabs>
        <w:ind w:left="0" w:firstLine="0"/>
      </w:pPr>
      <w:rPr>
        <w:rFonts w:hint="default"/>
      </w:rPr>
    </w:lvl>
    <w:lvl w:ilvl="4" w:tentative="0">
      <w:start w:val="1"/>
      <w:numFmt w:val="decimal"/>
      <w:lvlText w:val="%1.%2.%3.%4.%5"/>
      <w:lvlJc w:val="left"/>
      <w:pPr>
        <w:tabs>
          <w:tab w:val="left" w:pos="1800"/>
        </w:tabs>
        <w:ind w:left="0" w:firstLine="0"/>
      </w:pPr>
      <w:rPr>
        <w:rFonts w:hint="default"/>
      </w:rPr>
    </w:lvl>
    <w:lvl w:ilvl="5" w:tentative="0">
      <w:start w:val="1"/>
      <w:numFmt w:val="decimal"/>
      <w:lvlText w:val="%1.%2.%3.%4.%5.%6"/>
      <w:lvlJc w:val="left"/>
      <w:pPr>
        <w:tabs>
          <w:tab w:val="left" w:pos="1440"/>
        </w:tabs>
        <w:ind w:left="0" w:firstLine="0"/>
      </w:pPr>
      <w:rPr>
        <w:rFonts w:hint="default"/>
      </w:rPr>
    </w:lvl>
    <w:lvl w:ilvl="6" w:tentative="0">
      <w:start w:val="1"/>
      <w:numFmt w:val="decimal"/>
      <w:lvlText w:val="%1.%2.%3.%4.%5.%6.%7"/>
      <w:lvlJc w:val="left"/>
      <w:pPr>
        <w:tabs>
          <w:tab w:val="left" w:pos="1800"/>
        </w:tabs>
        <w:ind w:left="0" w:firstLine="0"/>
      </w:pPr>
      <w:rPr>
        <w:rFonts w:hint="default"/>
      </w:rPr>
    </w:lvl>
    <w:lvl w:ilvl="7" w:tentative="0">
      <w:start w:val="1"/>
      <w:numFmt w:val="decimal"/>
      <w:lvlText w:val="%1.%2.%3.%4.%5.%6.%7.%8"/>
      <w:lvlJc w:val="left"/>
      <w:pPr>
        <w:tabs>
          <w:tab w:val="left" w:pos="2160"/>
        </w:tabs>
        <w:ind w:left="0" w:firstLine="0"/>
      </w:pPr>
      <w:rPr>
        <w:rFonts w:hint="default"/>
      </w:rPr>
    </w:lvl>
    <w:lvl w:ilvl="8" w:tentative="0">
      <w:start w:val="1"/>
      <w:numFmt w:val="decimal"/>
      <w:lvlText w:val="%1.%2.%3.%4.%5.%6.%7.%8.%9"/>
      <w:lvlJc w:val="left"/>
      <w:pPr>
        <w:tabs>
          <w:tab w:val="left" w:pos="2160"/>
        </w:tabs>
        <w:ind w:left="0" w:firstLine="0"/>
      </w:pPr>
      <w:rPr>
        <w:rFonts w:hint="default"/>
      </w:rPr>
    </w:lvl>
  </w:abstractNum>
  <w:abstractNum w:abstractNumId="2">
    <w:nsid w:val="450C31D6"/>
    <w:multiLevelType w:val="multilevel"/>
    <w:tmpl w:val="450C31D6"/>
    <w:lvl w:ilvl="0" w:tentative="0">
      <w:start w:val="1"/>
      <w:numFmt w:val="decimal"/>
      <w:suff w:val="space"/>
      <w:lvlText w:val="%1"/>
      <w:lvlJc w:val="left"/>
      <w:pPr>
        <w:ind w:left="0" w:firstLine="0"/>
      </w:pPr>
      <w:rPr>
        <w:rFonts w:hint="default" w:ascii="Times New Roman" w:hAnsi="Times New Roman" w:eastAsia="黑体"/>
        <w:b/>
        <w:color w:val="auto"/>
        <w:kern w:val="2"/>
        <w:sz w:val="32"/>
      </w:rPr>
    </w:lvl>
    <w:lvl w:ilvl="1" w:tentative="0">
      <w:start w:val="1"/>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0"/>
      </w:pPr>
      <w:rPr>
        <w:rFonts w:hint="default" w:ascii="Times New Roman" w:hAnsi="Times New Roman" w:cs="Times New Roman"/>
      </w:rPr>
    </w:lvl>
    <w:lvl w:ilvl="3" w:tentative="0">
      <w:start w:val="1"/>
      <w:numFmt w:val="decimal"/>
      <w:pStyle w:val="120"/>
      <w:suff w:val="space"/>
      <w:lvlText w:val="%1.%2.%3.%4"/>
      <w:lvlJc w:val="left"/>
      <w:pPr>
        <w:ind w:left="142"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5MjFlN2MwN2RkY2FlMzBhYzBlZDk4NjcyYWQ1NGQifQ=="/>
  </w:docVars>
  <w:rsids>
    <w:rsidRoot w:val="00A14947"/>
    <w:rsid w:val="00000BE5"/>
    <w:rsid w:val="00002570"/>
    <w:rsid w:val="00003396"/>
    <w:rsid w:val="000060B3"/>
    <w:rsid w:val="00006D8D"/>
    <w:rsid w:val="00006EE9"/>
    <w:rsid w:val="00007818"/>
    <w:rsid w:val="00012029"/>
    <w:rsid w:val="0001345A"/>
    <w:rsid w:val="00022C24"/>
    <w:rsid w:val="000326AD"/>
    <w:rsid w:val="00036004"/>
    <w:rsid w:val="00042420"/>
    <w:rsid w:val="0004364B"/>
    <w:rsid w:val="00061B1F"/>
    <w:rsid w:val="000626FE"/>
    <w:rsid w:val="00067062"/>
    <w:rsid w:val="00067B18"/>
    <w:rsid w:val="000733C4"/>
    <w:rsid w:val="000736DD"/>
    <w:rsid w:val="00074783"/>
    <w:rsid w:val="00074EEA"/>
    <w:rsid w:val="0008070B"/>
    <w:rsid w:val="000810AC"/>
    <w:rsid w:val="00081A02"/>
    <w:rsid w:val="00082231"/>
    <w:rsid w:val="00083D4E"/>
    <w:rsid w:val="000850FA"/>
    <w:rsid w:val="000861F0"/>
    <w:rsid w:val="00091F95"/>
    <w:rsid w:val="00092D38"/>
    <w:rsid w:val="00093310"/>
    <w:rsid w:val="0009377B"/>
    <w:rsid w:val="00093817"/>
    <w:rsid w:val="000A20C9"/>
    <w:rsid w:val="000B007E"/>
    <w:rsid w:val="000B058F"/>
    <w:rsid w:val="000B4467"/>
    <w:rsid w:val="000B4DB9"/>
    <w:rsid w:val="000C09AC"/>
    <w:rsid w:val="000C1732"/>
    <w:rsid w:val="000C39A7"/>
    <w:rsid w:val="000C50AE"/>
    <w:rsid w:val="000C5E41"/>
    <w:rsid w:val="000C767F"/>
    <w:rsid w:val="000D56DF"/>
    <w:rsid w:val="000D5A44"/>
    <w:rsid w:val="000E1E01"/>
    <w:rsid w:val="000E3ED2"/>
    <w:rsid w:val="000E4C64"/>
    <w:rsid w:val="000F28EE"/>
    <w:rsid w:val="00105CE0"/>
    <w:rsid w:val="00106D8C"/>
    <w:rsid w:val="00106E86"/>
    <w:rsid w:val="00107B12"/>
    <w:rsid w:val="0011272A"/>
    <w:rsid w:val="00120472"/>
    <w:rsid w:val="00123A15"/>
    <w:rsid w:val="00125C9B"/>
    <w:rsid w:val="00131F42"/>
    <w:rsid w:val="001357F1"/>
    <w:rsid w:val="00140FA8"/>
    <w:rsid w:val="00142FEB"/>
    <w:rsid w:val="00143A2D"/>
    <w:rsid w:val="00145A41"/>
    <w:rsid w:val="00151675"/>
    <w:rsid w:val="00154B12"/>
    <w:rsid w:val="001572E9"/>
    <w:rsid w:val="00157435"/>
    <w:rsid w:val="0015754C"/>
    <w:rsid w:val="00165D74"/>
    <w:rsid w:val="00165F2F"/>
    <w:rsid w:val="001717D6"/>
    <w:rsid w:val="0017239C"/>
    <w:rsid w:val="0017504D"/>
    <w:rsid w:val="00175EF1"/>
    <w:rsid w:val="0017671A"/>
    <w:rsid w:val="00177357"/>
    <w:rsid w:val="00177422"/>
    <w:rsid w:val="0018392F"/>
    <w:rsid w:val="0018444B"/>
    <w:rsid w:val="00184590"/>
    <w:rsid w:val="00185770"/>
    <w:rsid w:val="001870D1"/>
    <w:rsid w:val="0018781E"/>
    <w:rsid w:val="0019262D"/>
    <w:rsid w:val="0019274B"/>
    <w:rsid w:val="00193385"/>
    <w:rsid w:val="001959E2"/>
    <w:rsid w:val="001A1B35"/>
    <w:rsid w:val="001A48A2"/>
    <w:rsid w:val="001A6F61"/>
    <w:rsid w:val="001A7742"/>
    <w:rsid w:val="001B72B8"/>
    <w:rsid w:val="001C16C8"/>
    <w:rsid w:val="001C69B3"/>
    <w:rsid w:val="001D324F"/>
    <w:rsid w:val="001D5595"/>
    <w:rsid w:val="001D6F9E"/>
    <w:rsid w:val="001D7639"/>
    <w:rsid w:val="001D7874"/>
    <w:rsid w:val="001D7F22"/>
    <w:rsid w:val="001E378C"/>
    <w:rsid w:val="001E3AAE"/>
    <w:rsid w:val="001F0F17"/>
    <w:rsid w:val="001F3347"/>
    <w:rsid w:val="001F5764"/>
    <w:rsid w:val="001F69E4"/>
    <w:rsid w:val="001F7C73"/>
    <w:rsid w:val="002018D1"/>
    <w:rsid w:val="002069D3"/>
    <w:rsid w:val="002125B4"/>
    <w:rsid w:val="002152E2"/>
    <w:rsid w:val="002155B8"/>
    <w:rsid w:val="00215E2A"/>
    <w:rsid w:val="002165AE"/>
    <w:rsid w:val="0021698D"/>
    <w:rsid w:val="00216F5C"/>
    <w:rsid w:val="00222423"/>
    <w:rsid w:val="002233F5"/>
    <w:rsid w:val="00223569"/>
    <w:rsid w:val="00224839"/>
    <w:rsid w:val="002249B2"/>
    <w:rsid w:val="00224E1D"/>
    <w:rsid w:val="00226574"/>
    <w:rsid w:val="002278EC"/>
    <w:rsid w:val="0023280E"/>
    <w:rsid w:val="00232E97"/>
    <w:rsid w:val="002377D1"/>
    <w:rsid w:val="00245449"/>
    <w:rsid w:val="00246CB0"/>
    <w:rsid w:val="002506BC"/>
    <w:rsid w:val="0025179F"/>
    <w:rsid w:val="0025193D"/>
    <w:rsid w:val="0025322D"/>
    <w:rsid w:val="00254345"/>
    <w:rsid w:val="002567A0"/>
    <w:rsid w:val="0025730C"/>
    <w:rsid w:val="00260039"/>
    <w:rsid w:val="00260BA4"/>
    <w:rsid w:val="00264557"/>
    <w:rsid w:val="00266463"/>
    <w:rsid w:val="002670EF"/>
    <w:rsid w:val="00275025"/>
    <w:rsid w:val="002805AB"/>
    <w:rsid w:val="00284204"/>
    <w:rsid w:val="0028675D"/>
    <w:rsid w:val="00291773"/>
    <w:rsid w:val="00297A47"/>
    <w:rsid w:val="002A168C"/>
    <w:rsid w:val="002A3DC7"/>
    <w:rsid w:val="002A7DDE"/>
    <w:rsid w:val="002B49E2"/>
    <w:rsid w:val="002B5187"/>
    <w:rsid w:val="002B6E1F"/>
    <w:rsid w:val="002B7B00"/>
    <w:rsid w:val="002B7C44"/>
    <w:rsid w:val="002C2005"/>
    <w:rsid w:val="002C2B17"/>
    <w:rsid w:val="002C362C"/>
    <w:rsid w:val="002C5B7A"/>
    <w:rsid w:val="002D3DD0"/>
    <w:rsid w:val="002D42CC"/>
    <w:rsid w:val="002D6936"/>
    <w:rsid w:val="002D72CB"/>
    <w:rsid w:val="002D761F"/>
    <w:rsid w:val="002E0971"/>
    <w:rsid w:val="002E0FB5"/>
    <w:rsid w:val="002E1F3A"/>
    <w:rsid w:val="002E298A"/>
    <w:rsid w:val="002E2E32"/>
    <w:rsid w:val="002F0A7A"/>
    <w:rsid w:val="00301978"/>
    <w:rsid w:val="0030332C"/>
    <w:rsid w:val="003051C2"/>
    <w:rsid w:val="00307A97"/>
    <w:rsid w:val="00310593"/>
    <w:rsid w:val="00312296"/>
    <w:rsid w:val="00314F0E"/>
    <w:rsid w:val="00315845"/>
    <w:rsid w:val="00315D04"/>
    <w:rsid w:val="00321D8E"/>
    <w:rsid w:val="00325005"/>
    <w:rsid w:val="00325928"/>
    <w:rsid w:val="0033048B"/>
    <w:rsid w:val="003315EF"/>
    <w:rsid w:val="00332863"/>
    <w:rsid w:val="0033684D"/>
    <w:rsid w:val="00337B42"/>
    <w:rsid w:val="00341B42"/>
    <w:rsid w:val="0034348F"/>
    <w:rsid w:val="00344C87"/>
    <w:rsid w:val="0034769B"/>
    <w:rsid w:val="00356653"/>
    <w:rsid w:val="0035743F"/>
    <w:rsid w:val="00357BE2"/>
    <w:rsid w:val="0036170C"/>
    <w:rsid w:val="00363035"/>
    <w:rsid w:val="00366518"/>
    <w:rsid w:val="00366E0F"/>
    <w:rsid w:val="003673CD"/>
    <w:rsid w:val="003745B9"/>
    <w:rsid w:val="003775FC"/>
    <w:rsid w:val="00377FB8"/>
    <w:rsid w:val="00381A72"/>
    <w:rsid w:val="003837FC"/>
    <w:rsid w:val="00384676"/>
    <w:rsid w:val="003857D0"/>
    <w:rsid w:val="003901F6"/>
    <w:rsid w:val="00390857"/>
    <w:rsid w:val="00396BAF"/>
    <w:rsid w:val="00397B0E"/>
    <w:rsid w:val="003A4BF3"/>
    <w:rsid w:val="003A4FAF"/>
    <w:rsid w:val="003B0F0B"/>
    <w:rsid w:val="003B3512"/>
    <w:rsid w:val="003B420D"/>
    <w:rsid w:val="003B4977"/>
    <w:rsid w:val="003B5222"/>
    <w:rsid w:val="003B6068"/>
    <w:rsid w:val="003B6CE5"/>
    <w:rsid w:val="003B7655"/>
    <w:rsid w:val="003C6C16"/>
    <w:rsid w:val="003C71A2"/>
    <w:rsid w:val="003D06C0"/>
    <w:rsid w:val="003D4379"/>
    <w:rsid w:val="003D794D"/>
    <w:rsid w:val="003E3058"/>
    <w:rsid w:val="003E76A9"/>
    <w:rsid w:val="003F01FE"/>
    <w:rsid w:val="003F0809"/>
    <w:rsid w:val="003F1848"/>
    <w:rsid w:val="003F6A8C"/>
    <w:rsid w:val="003F754C"/>
    <w:rsid w:val="003F755C"/>
    <w:rsid w:val="00403A02"/>
    <w:rsid w:val="00405E97"/>
    <w:rsid w:val="00406F01"/>
    <w:rsid w:val="00416D50"/>
    <w:rsid w:val="00416FD5"/>
    <w:rsid w:val="00417772"/>
    <w:rsid w:val="00417789"/>
    <w:rsid w:val="00420234"/>
    <w:rsid w:val="00420E6A"/>
    <w:rsid w:val="00424F30"/>
    <w:rsid w:val="00425A9E"/>
    <w:rsid w:val="00425F9B"/>
    <w:rsid w:val="00426D6B"/>
    <w:rsid w:val="004300B7"/>
    <w:rsid w:val="00431E6C"/>
    <w:rsid w:val="00432970"/>
    <w:rsid w:val="00433794"/>
    <w:rsid w:val="00433CE7"/>
    <w:rsid w:val="00433E1E"/>
    <w:rsid w:val="004364B8"/>
    <w:rsid w:val="00450BFF"/>
    <w:rsid w:val="00452738"/>
    <w:rsid w:val="00452D6D"/>
    <w:rsid w:val="00453DE5"/>
    <w:rsid w:val="00455092"/>
    <w:rsid w:val="00455281"/>
    <w:rsid w:val="00456091"/>
    <w:rsid w:val="00456929"/>
    <w:rsid w:val="00457158"/>
    <w:rsid w:val="004574F2"/>
    <w:rsid w:val="00464F0C"/>
    <w:rsid w:val="00466321"/>
    <w:rsid w:val="0047770A"/>
    <w:rsid w:val="00480FD3"/>
    <w:rsid w:val="00484B9B"/>
    <w:rsid w:val="004855F6"/>
    <w:rsid w:val="0048661E"/>
    <w:rsid w:val="00494408"/>
    <w:rsid w:val="00494670"/>
    <w:rsid w:val="00494B4C"/>
    <w:rsid w:val="00495521"/>
    <w:rsid w:val="00497B4E"/>
    <w:rsid w:val="004A030D"/>
    <w:rsid w:val="004A1C40"/>
    <w:rsid w:val="004A1D46"/>
    <w:rsid w:val="004A3823"/>
    <w:rsid w:val="004C3500"/>
    <w:rsid w:val="004D1059"/>
    <w:rsid w:val="004D5052"/>
    <w:rsid w:val="004E6946"/>
    <w:rsid w:val="004E71F6"/>
    <w:rsid w:val="004F1054"/>
    <w:rsid w:val="004F19CA"/>
    <w:rsid w:val="004F1AD8"/>
    <w:rsid w:val="004F5E7B"/>
    <w:rsid w:val="00501E81"/>
    <w:rsid w:val="00502907"/>
    <w:rsid w:val="005039CB"/>
    <w:rsid w:val="005052A6"/>
    <w:rsid w:val="0050558F"/>
    <w:rsid w:val="00506286"/>
    <w:rsid w:val="00507C97"/>
    <w:rsid w:val="00510522"/>
    <w:rsid w:val="00510813"/>
    <w:rsid w:val="00511990"/>
    <w:rsid w:val="00511DE0"/>
    <w:rsid w:val="00514870"/>
    <w:rsid w:val="00514B9B"/>
    <w:rsid w:val="00514F36"/>
    <w:rsid w:val="00515799"/>
    <w:rsid w:val="005157B4"/>
    <w:rsid w:val="00517F02"/>
    <w:rsid w:val="00523C68"/>
    <w:rsid w:val="00524303"/>
    <w:rsid w:val="005258A2"/>
    <w:rsid w:val="00525B12"/>
    <w:rsid w:val="005276D3"/>
    <w:rsid w:val="00536381"/>
    <w:rsid w:val="005401AE"/>
    <w:rsid w:val="00542E07"/>
    <w:rsid w:val="00545424"/>
    <w:rsid w:val="00546E7B"/>
    <w:rsid w:val="00550B8E"/>
    <w:rsid w:val="00554A7B"/>
    <w:rsid w:val="0055572C"/>
    <w:rsid w:val="00557F60"/>
    <w:rsid w:val="0056106A"/>
    <w:rsid w:val="00561689"/>
    <w:rsid w:val="005716CE"/>
    <w:rsid w:val="005720AE"/>
    <w:rsid w:val="00573AD1"/>
    <w:rsid w:val="0058466F"/>
    <w:rsid w:val="00594D77"/>
    <w:rsid w:val="005969E4"/>
    <w:rsid w:val="005A06B7"/>
    <w:rsid w:val="005A15B9"/>
    <w:rsid w:val="005A1759"/>
    <w:rsid w:val="005A53A8"/>
    <w:rsid w:val="005A68A7"/>
    <w:rsid w:val="005B624F"/>
    <w:rsid w:val="005B6DF2"/>
    <w:rsid w:val="005C2D0E"/>
    <w:rsid w:val="005C2FAF"/>
    <w:rsid w:val="005C3735"/>
    <w:rsid w:val="005C700A"/>
    <w:rsid w:val="005D36AB"/>
    <w:rsid w:val="005D3720"/>
    <w:rsid w:val="005D5E1A"/>
    <w:rsid w:val="005D695B"/>
    <w:rsid w:val="005E2AC3"/>
    <w:rsid w:val="005E2D6D"/>
    <w:rsid w:val="005E2DD2"/>
    <w:rsid w:val="005E381E"/>
    <w:rsid w:val="005E5DA1"/>
    <w:rsid w:val="005E61DC"/>
    <w:rsid w:val="005F5D1A"/>
    <w:rsid w:val="00603C16"/>
    <w:rsid w:val="0060735D"/>
    <w:rsid w:val="00617CC3"/>
    <w:rsid w:val="00623399"/>
    <w:rsid w:val="006270CA"/>
    <w:rsid w:val="00632522"/>
    <w:rsid w:val="006350D1"/>
    <w:rsid w:val="00636EB0"/>
    <w:rsid w:val="006377A6"/>
    <w:rsid w:val="00637A3D"/>
    <w:rsid w:val="006411EF"/>
    <w:rsid w:val="00645047"/>
    <w:rsid w:val="006452A3"/>
    <w:rsid w:val="00652164"/>
    <w:rsid w:val="00657B67"/>
    <w:rsid w:val="00660AA2"/>
    <w:rsid w:val="00663B3A"/>
    <w:rsid w:val="006666F5"/>
    <w:rsid w:val="006672C3"/>
    <w:rsid w:val="00670A0F"/>
    <w:rsid w:val="006735C2"/>
    <w:rsid w:val="00673BA8"/>
    <w:rsid w:val="006748B8"/>
    <w:rsid w:val="006775C3"/>
    <w:rsid w:val="0068041E"/>
    <w:rsid w:val="006811A1"/>
    <w:rsid w:val="00691334"/>
    <w:rsid w:val="0069186C"/>
    <w:rsid w:val="0069290A"/>
    <w:rsid w:val="0069775A"/>
    <w:rsid w:val="00697813"/>
    <w:rsid w:val="006A3EE8"/>
    <w:rsid w:val="006A72BF"/>
    <w:rsid w:val="006B03F2"/>
    <w:rsid w:val="006B2852"/>
    <w:rsid w:val="006B37DC"/>
    <w:rsid w:val="006B3C33"/>
    <w:rsid w:val="006B4307"/>
    <w:rsid w:val="006B4F68"/>
    <w:rsid w:val="006C0592"/>
    <w:rsid w:val="006C272E"/>
    <w:rsid w:val="006C4030"/>
    <w:rsid w:val="006C5479"/>
    <w:rsid w:val="006D13B5"/>
    <w:rsid w:val="006D6C89"/>
    <w:rsid w:val="006D776E"/>
    <w:rsid w:val="006E12FF"/>
    <w:rsid w:val="006E480D"/>
    <w:rsid w:val="006E607E"/>
    <w:rsid w:val="006E6D70"/>
    <w:rsid w:val="006F33B2"/>
    <w:rsid w:val="006F43D2"/>
    <w:rsid w:val="006F46CF"/>
    <w:rsid w:val="00706C5D"/>
    <w:rsid w:val="0071204A"/>
    <w:rsid w:val="007130CE"/>
    <w:rsid w:val="00715D5E"/>
    <w:rsid w:val="00717DCE"/>
    <w:rsid w:val="00722144"/>
    <w:rsid w:val="0072330D"/>
    <w:rsid w:val="00723371"/>
    <w:rsid w:val="007311A5"/>
    <w:rsid w:val="00732922"/>
    <w:rsid w:val="00741190"/>
    <w:rsid w:val="00743CB6"/>
    <w:rsid w:val="00743EBA"/>
    <w:rsid w:val="007446DB"/>
    <w:rsid w:val="007469C7"/>
    <w:rsid w:val="00746FF5"/>
    <w:rsid w:val="00750538"/>
    <w:rsid w:val="0075162E"/>
    <w:rsid w:val="00751A18"/>
    <w:rsid w:val="00751AE4"/>
    <w:rsid w:val="00752B8B"/>
    <w:rsid w:val="00753908"/>
    <w:rsid w:val="00754034"/>
    <w:rsid w:val="0075614B"/>
    <w:rsid w:val="00756556"/>
    <w:rsid w:val="00757551"/>
    <w:rsid w:val="007618C4"/>
    <w:rsid w:val="007662A9"/>
    <w:rsid w:val="00766F6E"/>
    <w:rsid w:val="00767980"/>
    <w:rsid w:val="00770B19"/>
    <w:rsid w:val="0077463F"/>
    <w:rsid w:val="00775DF2"/>
    <w:rsid w:val="007836EA"/>
    <w:rsid w:val="0078462F"/>
    <w:rsid w:val="00784CDA"/>
    <w:rsid w:val="007906C4"/>
    <w:rsid w:val="007940EA"/>
    <w:rsid w:val="007967E8"/>
    <w:rsid w:val="007A12D8"/>
    <w:rsid w:val="007A2170"/>
    <w:rsid w:val="007A22BF"/>
    <w:rsid w:val="007A3323"/>
    <w:rsid w:val="007A3BB6"/>
    <w:rsid w:val="007A5E21"/>
    <w:rsid w:val="007A698C"/>
    <w:rsid w:val="007B3883"/>
    <w:rsid w:val="007B628E"/>
    <w:rsid w:val="007B72B8"/>
    <w:rsid w:val="007B7A58"/>
    <w:rsid w:val="007C21B5"/>
    <w:rsid w:val="007C339A"/>
    <w:rsid w:val="007D24D0"/>
    <w:rsid w:val="007D2951"/>
    <w:rsid w:val="007E029A"/>
    <w:rsid w:val="007E070A"/>
    <w:rsid w:val="007E1542"/>
    <w:rsid w:val="007E4BD2"/>
    <w:rsid w:val="007E5280"/>
    <w:rsid w:val="00801393"/>
    <w:rsid w:val="00802F88"/>
    <w:rsid w:val="00805678"/>
    <w:rsid w:val="00805BD1"/>
    <w:rsid w:val="0081006E"/>
    <w:rsid w:val="0081293E"/>
    <w:rsid w:val="00815465"/>
    <w:rsid w:val="00817E9A"/>
    <w:rsid w:val="00821273"/>
    <w:rsid w:val="00821E15"/>
    <w:rsid w:val="008266BA"/>
    <w:rsid w:val="008306BD"/>
    <w:rsid w:val="00831A80"/>
    <w:rsid w:val="00832EA8"/>
    <w:rsid w:val="00833743"/>
    <w:rsid w:val="008340A4"/>
    <w:rsid w:val="0084151E"/>
    <w:rsid w:val="008470E0"/>
    <w:rsid w:val="00852027"/>
    <w:rsid w:val="00861619"/>
    <w:rsid w:val="00862B65"/>
    <w:rsid w:val="008710F9"/>
    <w:rsid w:val="0087135F"/>
    <w:rsid w:val="00872D94"/>
    <w:rsid w:val="00874EDF"/>
    <w:rsid w:val="0087500C"/>
    <w:rsid w:val="00877A3D"/>
    <w:rsid w:val="00880364"/>
    <w:rsid w:val="00880DFC"/>
    <w:rsid w:val="008817F1"/>
    <w:rsid w:val="00891592"/>
    <w:rsid w:val="00891E9E"/>
    <w:rsid w:val="00893520"/>
    <w:rsid w:val="00893922"/>
    <w:rsid w:val="008A2245"/>
    <w:rsid w:val="008A24C2"/>
    <w:rsid w:val="008A2F68"/>
    <w:rsid w:val="008A426E"/>
    <w:rsid w:val="008A554C"/>
    <w:rsid w:val="008A576F"/>
    <w:rsid w:val="008B29FE"/>
    <w:rsid w:val="008B4FA6"/>
    <w:rsid w:val="008B5282"/>
    <w:rsid w:val="008B7C17"/>
    <w:rsid w:val="008C2D01"/>
    <w:rsid w:val="008C40E6"/>
    <w:rsid w:val="008C431B"/>
    <w:rsid w:val="008C52B5"/>
    <w:rsid w:val="008C532F"/>
    <w:rsid w:val="008C6C29"/>
    <w:rsid w:val="008D0F7A"/>
    <w:rsid w:val="008D68E4"/>
    <w:rsid w:val="008E01E2"/>
    <w:rsid w:val="008E0506"/>
    <w:rsid w:val="008E0CFF"/>
    <w:rsid w:val="008E12EF"/>
    <w:rsid w:val="008E5D6B"/>
    <w:rsid w:val="008E76F0"/>
    <w:rsid w:val="008F0260"/>
    <w:rsid w:val="008F15FE"/>
    <w:rsid w:val="008F2D29"/>
    <w:rsid w:val="008F5187"/>
    <w:rsid w:val="008F5A65"/>
    <w:rsid w:val="008F60D8"/>
    <w:rsid w:val="008F645D"/>
    <w:rsid w:val="00902727"/>
    <w:rsid w:val="0090312B"/>
    <w:rsid w:val="00904188"/>
    <w:rsid w:val="00910E62"/>
    <w:rsid w:val="00911474"/>
    <w:rsid w:val="00911510"/>
    <w:rsid w:val="00912C56"/>
    <w:rsid w:val="00913FF5"/>
    <w:rsid w:val="0091736D"/>
    <w:rsid w:val="009213BB"/>
    <w:rsid w:val="00926C4B"/>
    <w:rsid w:val="00926EA7"/>
    <w:rsid w:val="0093037A"/>
    <w:rsid w:val="00930EF7"/>
    <w:rsid w:val="00933701"/>
    <w:rsid w:val="00933CB2"/>
    <w:rsid w:val="00934864"/>
    <w:rsid w:val="00940699"/>
    <w:rsid w:val="0094154D"/>
    <w:rsid w:val="0094634B"/>
    <w:rsid w:val="0095155F"/>
    <w:rsid w:val="009540DD"/>
    <w:rsid w:val="00954429"/>
    <w:rsid w:val="00956066"/>
    <w:rsid w:val="009563CE"/>
    <w:rsid w:val="00964B2A"/>
    <w:rsid w:val="00964DFF"/>
    <w:rsid w:val="00967229"/>
    <w:rsid w:val="00971E2F"/>
    <w:rsid w:val="00974B14"/>
    <w:rsid w:val="00974F7B"/>
    <w:rsid w:val="00975567"/>
    <w:rsid w:val="00976328"/>
    <w:rsid w:val="0097680D"/>
    <w:rsid w:val="00982438"/>
    <w:rsid w:val="0098404C"/>
    <w:rsid w:val="00985283"/>
    <w:rsid w:val="00993BA9"/>
    <w:rsid w:val="009949CB"/>
    <w:rsid w:val="00995992"/>
    <w:rsid w:val="009971AF"/>
    <w:rsid w:val="009A03E5"/>
    <w:rsid w:val="009A0F3B"/>
    <w:rsid w:val="009A195E"/>
    <w:rsid w:val="009A1BB4"/>
    <w:rsid w:val="009A2628"/>
    <w:rsid w:val="009A3200"/>
    <w:rsid w:val="009A6A21"/>
    <w:rsid w:val="009B0897"/>
    <w:rsid w:val="009B5701"/>
    <w:rsid w:val="009B694A"/>
    <w:rsid w:val="009B6BA1"/>
    <w:rsid w:val="009B7BD9"/>
    <w:rsid w:val="009C0BAC"/>
    <w:rsid w:val="009C4084"/>
    <w:rsid w:val="009C7DD5"/>
    <w:rsid w:val="009D2A37"/>
    <w:rsid w:val="009E1E25"/>
    <w:rsid w:val="009E227D"/>
    <w:rsid w:val="009E41A9"/>
    <w:rsid w:val="009E5019"/>
    <w:rsid w:val="009E51B7"/>
    <w:rsid w:val="009F052B"/>
    <w:rsid w:val="009F3033"/>
    <w:rsid w:val="00A04F1B"/>
    <w:rsid w:val="00A04FD0"/>
    <w:rsid w:val="00A0501B"/>
    <w:rsid w:val="00A0555B"/>
    <w:rsid w:val="00A1133C"/>
    <w:rsid w:val="00A11AF8"/>
    <w:rsid w:val="00A14947"/>
    <w:rsid w:val="00A2163E"/>
    <w:rsid w:val="00A24351"/>
    <w:rsid w:val="00A25032"/>
    <w:rsid w:val="00A276B2"/>
    <w:rsid w:val="00A32A83"/>
    <w:rsid w:val="00A3540F"/>
    <w:rsid w:val="00A368DB"/>
    <w:rsid w:val="00A423AA"/>
    <w:rsid w:val="00A53EC6"/>
    <w:rsid w:val="00A55C0F"/>
    <w:rsid w:val="00A57288"/>
    <w:rsid w:val="00A57F8E"/>
    <w:rsid w:val="00A60EFE"/>
    <w:rsid w:val="00A62F2C"/>
    <w:rsid w:val="00A74D3D"/>
    <w:rsid w:val="00A76D57"/>
    <w:rsid w:val="00A80A8A"/>
    <w:rsid w:val="00A8713F"/>
    <w:rsid w:val="00A90883"/>
    <w:rsid w:val="00A90BA1"/>
    <w:rsid w:val="00A94C06"/>
    <w:rsid w:val="00A96B91"/>
    <w:rsid w:val="00A97163"/>
    <w:rsid w:val="00A97A9A"/>
    <w:rsid w:val="00A97B7D"/>
    <w:rsid w:val="00AA0671"/>
    <w:rsid w:val="00AA2531"/>
    <w:rsid w:val="00AB1E09"/>
    <w:rsid w:val="00AB5330"/>
    <w:rsid w:val="00AB7747"/>
    <w:rsid w:val="00AC14CE"/>
    <w:rsid w:val="00AC174D"/>
    <w:rsid w:val="00AC1A15"/>
    <w:rsid w:val="00AC2258"/>
    <w:rsid w:val="00AC2A56"/>
    <w:rsid w:val="00AC2C34"/>
    <w:rsid w:val="00AD055E"/>
    <w:rsid w:val="00AD3FEB"/>
    <w:rsid w:val="00AD4568"/>
    <w:rsid w:val="00AD47A7"/>
    <w:rsid w:val="00AE0A23"/>
    <w:rsid w:val="00AE381F"/>
    <w:rsid w:val="00AE428A"/>
    <w:rsid w:val="00AF0CBF"/>
    <w:rsid w:val="00AF257F"/>
    <w:rsid w:val="00AF33CF"/>
    <w:rsid w:val="00AF4AC0"/>
    <w:rsid w:val="00AF4D50"/>
    <w:rsid w:val="00AF575A"/>
    <w:rsid w:val="00AF6179"/>
    <w:rsid w:val="00AF6C91"/>
    <w:rsid w:val="00B10558"/>
    <w:rsid w:val="00B1295A"/>
    <w:rsid w:val="00B15FF0"/>
    <w:rsid w:val="00B20A45"/>
    <w:rsid w:val="00B21E95"/>
    <w:rsid w:val="00B22C5C"/>
    <w:rsid w:val="00B24F30"/>
    <w:rsid w:val="00B31ABF"/>
    <w:rsid w:val="00B33BE3"/>
    <w:rsid w:val="00B4009F"/>
    <w:rsid w:val="00B457F0"/>
    <w:rsid w:val="00B5117C"/>
    <w:rsid w:val="00B53B5D"/>
    <w:rsid w:val="00B54628"/>
    <w:rsid w:val="00B6055E"/>
    <w:rsid w:val="00B60881"/>
    <w:rsid w:val="00B6317D"/>
    <w:rsid w:val="00B66EEA"/>
    <w:rsid w:val="00B74DEE"/>
    <w:rsid w:val="00B76230"/>
    <w:rsid w:val="00B7723F"/>
    <w:rsid w:val="00B80534"/>
    <w:rsid w:val="00B82F92"/>
    <w:rsid w:val="00B8433C"/>
    <w:rsid w:val="00B84D80"/>
    <w:rsid w:val="00B8710F"/>
    <w:rsid w:val="00B87491"/>
    <w:rsid w:val="00B94CAB"/>
    <w:rsid w:val="00B961DD"/>
    <w:rsid w:val="00B963E3"/>
    <w:rsid w:val="00BA0CCC"/>
    <w:rsid w:val="00BA134A"/>
    <w:rsid w:val="00BA29E9"/>
    <w:rsid w:val="00BA7142"/>
    <w:rsid w:val="00BB0F9F"/>
    <w:rsid w:val="00BB15BE"/>
    <w:rsid w:val="00BB237C"/>
    <w:rsid w:val="00BB41A3"/>
    <w:rsid w:val="00BB43B7"/>
    <w:rsid w:val="00BB5FCB"/>
    <w:rsid w:val="00BC32DC"/>
    <w:rsid w:val="00BC35B6"/>
    <w:rsid w:val="00BC5491"/>
    <w:rsid w:val="00BC5A19"/>
    <w:rsid w:val="00BC6D38"/>
    <w:rsid w:val="00BD1B51"/>
    <w:rsid w:val="00BD2139"/>
    <w:rsid w:val="00BD2359"/>
    <w:rsid w:val="00BD4596"/>
    <w:rsid w:val="00BD6199"/>
    <w:rsid w:val="00BD6D4E"/>
    <w:rsid w:val="00BD7BC8"/>
    <w:rsid w:val="00BE1405"/>
    <w:rsid w:val="00BE312D"/>
    <w:rsid w:val="00BE4B18"/>
    <w:rsid w:val="00BE6880"/>
    <w:rsid w:val="00BF1C20"/>
    <w:rsid w:val="00BF2A1D"/>
    <w:rsid w:val="00C02F23"/>
    <w:rsid w:val="00C10578"/>
    <w:rsid w:val="00C1258B"/>
    <w:rsid w:val="00C135BC"/>
    <w:rsid w:val="00C155C8"/>
    <w:rsid w:val="00C15C95"/>
    <w:rsid w:val="00C21E6B"/>
    <w:rsid w:val="00C244C6"/>
    <w:rsid w:val="00C2596A"/>
    <w:rsid w:val="00C2603F"/>
    <w:rsid w:val="00C27537"/>
    <w:rsid w:val="00C27DAB"/>
    <w:rsid w:val="00C328FE"/>
    <w:rsid w:val="00C33507"/>
    <w:rsid w:val="00C4409D"/>
    <w:rsid w:val="00C44A42"/>
    <w:rsid w:val="00C44E72"/>
    <w:rsid w:val="00C45A06"/>
    <w:rsid w:val="00C47E5B"/>
    <w:rsid w:val="00C52342"/>
    <w:rsid w:val="00C56192"/>
    <w:rsid w:val="00C61C87"/>
    <w:rsid w:val="00C61E4B"/>
    <w:rsid w:val="00C64BFF"/>
    <w:rsid w:val="00C704E9"/>
    <w:rsid w:val="00C70F1B"/>
    <w:rsid w:val="00C73506"/>
    <w:rsid w:val="00C763C9"/>
    <w:rsid w:val="00C80057"/>
    <w:rsid w:val="00C80ECF"/>
    <w:rsid w:val="00C82232"/>
    <w:rsid w:val="00C82913"/>
    <w:rsid w:val="00C850BB"/>
    <w:rsid w:val="00C86E4A"/>
    <w:rsid w:val="00C972B1"/>
    <w:rsid w:val="00CA1C9E"/>
    <w:rsid w:val="00CA2CCE"/>
    <w:rsid w:val="00CA32F3"/>
    <w:rsid w:val="00CA43FD"/>
    <w:rsid w:val="00CA7EF8"/>
    <w:rsid w:val="00CB0E81"/>
    <w:rsid w:val="00CB5E6C"/>
    <w:rsid w:val="00CB7C46"/>
    <w:rsid w:val="00CC3A03"/>
    <w:rsid w:val="00CC489B"/>
    <w:rsid w:val="00CC69EA"/>
    <w:rsid w:val="00CC776C"/>
    <w:rsid w:val="00CD250D"/>
    <w:rsid w:val="00CD2BCD"/>
    <w:rsid w:val="00CD34DE"/>
    <w:rsid w:val="00CD38F5"/>
    <w:rsid w:val="00CD3A4C"/>
    <w:rsid w:val="00CE10E9"/>
    <w:rsid w:val="00CE2910"/>
    <w:rsid w:val="00CE5393"/>
    <w:rsid w:val="00CF318F"/>
    <w:rsid w:val="00CF36BE"/>
    <w:rsid w:val="00CF6000"/>
    <w:rsid w:val="00CF62DA"/>
    <w:rsid w:val="00CF74A4"/>
    <w:rsid w:val="00D003F3"/>
    <w:rsid w:val="00D0364F"/>
    <w:rsid w:val="00D06834"/>
    <w:rsid w:val="00D120EF"/>
    <w:rsid w:val="00D13C22"/>
    <w:rsid w:val="00D253B8"/>
    <w:rsid w:val="00D26093"/>
    <w:rsid w:val="00D308ED"/>
    <w:rsid w:val="00D335C8"/>
    <w:rsid w:val="00D3691A"/>
    <w:rsid w:val="00D36D86"/>
    <w:rsid w:val="00D428AA"/>
    <w:rsid w:val="00D44140"/>
    <w:rsid w:val="00D44512"/>
    <w:rsid w:val="00D44ACC"/>
    <w:rsid w:val="00D4673F"/>
    <w:rsid w:val="00D50A34"/>
    <w:rsid w:val="00D53EFA"/>
    <w:rsid w:val="00D56E1A"/>
    <w:rsid w:val="00D71861"/>
    <w:rsid w:val="00D83E2C"/>
    <w:rsid w:val="00D851A2"/>
    <w:rsid w:val="00D94A7C"/>
    <w:rsid w:val="00D94D52"/>
    <w:rsid w:val="00D956B5"/>
    <w:rsid w:val="00D95896"/>
    <w:rsid w:val="00DA2961"/>
    <w:rsid w:val="00DA5F13"/>
    <w:rsid w:val="00DA613B"/>
    <w:rsid w:val="00DA703E"/>
    <w:rsid w:val="00DA7B99"/>
    <w:rsid w:val="00DA7CD3"/>
    <w:rsid w:val="00DB2983"/>
    <w:rsid w:val="00DB2E03"/>
    <w:rsid w:val="00DB2E39"/>
    <w:rsid w:val="00DB5C2F"/>
    <w:rsid w:val="00DC1100"/>
    <w:rsid w:val="00DC1257"/>
    <w:rsid w:val="00DC3DC0"/>
    <w:rsid w:val="00DC5B2B"/>
    <w:rsid w:val="00DC760A"/>
    <w:rsid w:val="00DD318D"/>
    <w:rsid w:val="00DF2E12"/>
    <w:rsid w:val="00DF334D"/>
    <w:rsid w:val="00DF3C43"/>
    <w:rsid w:val="00DF514A"/>
    <w:rsid w:val="00DF59CA"/>
    <w:rsid w:val="00DF6690"/>
    <w:rsid w:val="00DF6804"/>
    <w:rsid w:val="00E003D4"/>
    <w:rsid w:val="00E01017"/>
    <w:rsid w:val="00E0358D"/>
    <w:rsid w:val="00E04323"/>
    <w:rsid w:val="00E05195"/>
    <w:rsid w:val="00E070A2"/>
    <w:rsid w:val="00E112AD"/>
    <w:rsid w:val="00E11A5D"/>
    <w:rsid w:val="00E13B9A"/>
    <w:rsid w:val="00E13BAC"/>
    <w:rsid w:val="00E2656A"/>
    <w:rsid w:val="00E27332"/>
    <w:rsid w:val="00E3504D"/>
    <w:rsid w:val="00E3539C"/>
    <w:rsid w:val="00E369AE"/>
    <w:rsid w:val="00E406C1"/>
    <w:rsid w:val="00E412D0"/>
    <w:rsid w:val="00E4290A"/>
    <w:rsid w:val="00E42DEA"/>
    <w:rsid w:val="00E56322"/>
    <w:rsid w:val="00E57FCF"/>
    <w:rsid w:val="00E60982"/>
    <w:rsid w:val="00E60C21"/>
    <w:rsid w:val="00E62C62"/>
    <w:rsid w:val="00E648F8"/>
    <w:rsid w:val="00E654C1"/>
    <w:rsid w:val="00E65D97"/>
    <w:rsid w:val="00E72A5A"/>
    <w:rsid w:val="00E73354"/>
    <w:rsid w:val="00E75917"/>
    <w:rsid w:val="00E81A1F"/>
    <w:rsid w:val="00E82AAC"/>
    <w:rsid w:val="00E90E61"/>
    <w:rsid w:val="00E9242D"/>
    <w:rsid w:val="00E966E1"/>
    <w:rsid w:val="00EA1C84"/>
    <w:rsid w:val="00EA5FF0"/>
    <w:rsid w:val="00EA6FD8"/>
    <w:rsid w:val="00EB1176"/>
    <w:rsid w:val="00EB49D6"/>
    <w:rsid w:val="00EB5255"/>
    <w:rsid w:val="00EB5C47"/>
    <w:rsid w:val="00EB632F"/>
    <w:rsid w:val="00EC2F30"/>
    <w:rsid w:val="00EC7E87"/>
    <w:rsid w:val="00ED0639"/>
    <w:rsid w:val="00ED0DD6"/>
    <w:rsid w:val="00ED280F"/>
    <w:rsid w:val="00ED3580"/>
    <w:rsid w:val="00ED3F15"/>
    <w:rsid w:val="00EE4528"/>
    <w:rsid w:val="00EE6F11"/>
    <w:rsid w:val="00EF07EA"/>
    <w:rsid w:val="00EF14CE"/>
    <w:rsid w:val="00EF4755"/>
    <w:rsid w:val="00EF7135"/>
    <w:rsid w:val="00F00D19"/>
    <w:rsid w:val="00F0216E"/>
    <w:rsid w:val="00F027DB"/>
    <w:rsid w:val="00F02C4B"/>
    <w:rsid w:val="00F12EC7"/>
    <w:rsid w:val="00F14A7A"/>
    <w:rsid w:val="00F165E8"/>
    <w:rsid w:val="00F22985"/>
    <w:rsid w:val="00F23108"/>
    <w:rsid w:val="00F253B2"/>
    <w:rsid w:val="00F25E43"/>
    <w:rsid w:val="00F31B38"/>
    <w:rsid w:val="00F3383E"/>
    <w:rsid w:val="00F33C12"/>
    <w:rsid w:val="00F372DA"/>
    <w:rsid w:val="00F37B8B"/>
    <w:rsid w:val="00F41BF1"/>
    <w:rsid w:val="00F465A7"/>
    <w:rsid w:val="00F506C6"/>
    <w:rsid w:val="00F5092B"/>
    <w:rsid w:val="00F50B7C"/>
    <w:rsid w:val="00F52355"/>
    <w:rsid w:val="00F550E6"/>
    <w:rsid w:val="00F5523B"/>
    <w:rsid w:val="00F55455"/>
    <w:rsid w:val="00F60F25"/>
    <w:rsid w:val="00F612D5"/>
    <w:rsid w:val="00F643F6"/>
    <w:rsid w:val="00F665DF"/>
    <w:rsid w:val="00F74345"/>
    <w:rsid w:val="00F80A0A"/>
    <w:rsid w:val="00F82B19"/>
    <w:rsid w:val="00F87403"/>
    <w:rsid w:val="00F910C1"/>
    <w:rsid w:val="00F9212D"/>
    <w:rsid w:val="00F95C28"/>
    <w:rsid w:val="00F965DA"/>
    <w:rsid w:val="00FA406A"/>
    <w:rsid w:val="00FA6B7D"/>
    <w:rsid w:val="00FA6F17"/>
    <w:rsid w:val="00FA72C6"/>
    <w:rsid w:val="00FB0772"/>
    <w:rsid w:val="00FB16F4"/>
    <w:rsid w:val="00FB48CF"/>
    <w:rsid w:val="00FB503A"/>
    <w:rsid w:val="00FB516C"/>
    <w:rsid w:val="00FC12D5"/>
    <w:rsid w:val="00FC26CE"/>
    <w:rsid w:val="00FC5306"/>
    <w:rsid w:val="00FD0236"/>
    <w:rsid w:val="00FD18F4"/>
    <w:rsid w:val="00FD54DB"/>
    <w:rsid w:val="00FD619F"/>
    <w:rsid w:val="00FD7204"/>
    <w:rsid w:val="00FE1269"/>
    <w:rsid w:val="00FE1B9D"/>
    <w:rsid w:val="00FE6ADC"/>
    <w:rsid w:val="01290F7E"/>
    <w:rsid w:val="015D1E09"/>
    <w:rsid w:val="01FC0DC5"/>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D8D4A8D"/>
    <w:rsid w:val="0E73034D"/>
    <w:rsid w:val="0F13775A"/>
    <w:rsid w:val="0F5F45FE"/>
    <w:rsid w:val="0F9A112B"/>
    <w:rsid w:val="0FD214A7"/>
    <w:rsid w:val="106D2F64"/>
    <w:rsid w:val="10B63710"/>
    <w:rsid w:val="10F10820"/>
    <w:rsid w:val="111C2F7A"/>
    <w:rsid w:val="11665CA1"/>
    <w:rsid w:val="13951726"/>
    <w:rsid w:val="141D2376"/>
    <w:rsid w:val="14396509"/>
    <w:rsid w:val="14DD2C3C"/>
    <w:rsid w:val="16087E1D"/>
    <w:rsid w:val="17701D14"/>
    <w:rsid w:val="17735226"/>
    <w:rsid w:val="188C006D"/>
    <w:rsid w:val="189F624C"/>
    <w:rsid w:val="1A1C66C0"/>
    <w:rsid w:val="1A42393B"/>
    <w:rsid w:val="1AAD45DE"/>
    <w:rsid w:val="1B046F80"/>
    <w:rsid w:val="1B3267B5"/>
    <w:rsid w:val="1B40161D"/>
    <w:rsid w:val="1B441859"/>
    <w:rsid w:val="1B6606B1"/>
    <w:rsid w:val="1C5E7925"/>
    <w:rsid w:val="1CFD070F"/>
    <w:rsid w:val="1D5F6196"/>
    <w:rsid w:val="1D6132A5"/>
    <w:rsid w:val="1D8E56D5"/>
    <w:rsid w:val="1DCE68AF"/>
    <w:rsid w:val="1E7A43DA"/>
    <w:rsid w:val="1EA6306E"/>
    <w:rsid w:val="1FE7539E"/>
    <w:rsid w:val="20671BE0"/>
    <w:rsid w:val="20963CB8"/>
    <w:rsid w:val="20A81A1B"/>
    <w:rsid w:val="20B07FB6"/>
    <w:rsid w:val="20B646FB"/>
    <w:rsid w:val="213B74B1"/>
    <w:rsid w:val="215A2310"/>
    <w:rsid w:val="21DE318A"/>
    <w:rsid w:val="21EF5B80"/>
    <w:rsid w:val="221316E5"/>
    <w:rsid w:val="22576990"/>
    <w:rsid w:val="22E33C98"/>
    <w:rsid w:val="22F47480"/>
    <w:rsid w:val="233725C1"/>
    <w:rsid w:val="23DE1C48"/>
    <w:rsid w:val="240210CD"/>
    <w:rsid w:val="24BF09F7"/>
    <w:rsid w:val="252D53FE"/>
    <w:rsid w:val="25EC2D81"/>
    <w:rsid w:val="26E66C01"/>
    <w:rsid w:val="277057A2"/>
    <w:rsid w:val="27A11991"/>
    <w:rsid w:val="29206EB8"/>
    <w:rsid w:val="29595666"/>
    <w:rsid w:val="29874881"/>
    <w:rsid w:val="29E325E0"/>
    <w:rsid w:val="2A452503"/>
    <w:rsid w:val="2AAD6FFD"/>
    <w:rsid w:val="2BA936A8"/>
    <w:rsid w:val="2C315A5A"/>
    <w:rsid w:val="2C4B1C25"/>
    <w:rsid w:val="2CAA0940"/>
    <w:rsid w:val="2CB270ED"/>
    <w:rsid w:val="2D9E56F5"/>
    <w:rsid w:val="2E667F96"/>
    <w:rsid w:val="2E6B5D7F"/>
    <w:rsid w:val="2E8226AB"/>
    <w:rsid w:val="2F476E83"/>
    <w:rsid w:val="2F93576E"/>
    <w:rsid w:val="2FD065E6"/>
    <w:rsid w:val="2FD96870"/>
    <w:rsid w:val="30580BC9"/>
    <w:rsid w:val="311E2ED7"/>
    <w:rsid w:val="315619EE"/>
    <w:rsid w:val="315C449C"/>
    <w:rsid w:val="31B82709"/>
    <w:rsid w:val="31D05482"/>
    <w:rsid w:val="321974DF"/>
    <w:rsid w:val="32400B34"/>
    <w:rsid w:val="325E65B2"/>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2574D3"/>
    <w:rsid w:val="3EAD10C8"/>
    <w:rsid w:val="3EB8145C"/>
    <w:rsid w:val="3EDA0523"/>
    <w:rsid w:val="407A6407"/>
    <w:rsid w:val="40E54719"/>
    <w:rsid w:val="4200449D"/>
    <w:rsid w:val="423A3BCC"/>
    <w:rsid w:val="424E57D2"/>
    <w:rsid w:val="42B26C49"/>
    <w:rsid w:val="43055193"/>
    <w:rsid w:val="433A6FE6"/>
    <w:rsid w:val="43480868"/>
    <w:rsid w:val="4350713C"/>
    <w:rsid w:val="436653E0"/>
    <w:rsid w:val="43C4431A"/>
    <w:rsid w:val="445B2F2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E810FE"/>
    <w:rsid w:val="4C4A0649"/>
    <w:rsid w:val="4C7E5ECA"/>
    <w:rsid w:val="4C876AA5"/>
    <w:rsid w:val="4D0E00FB"/>
    <w:rsid w:val="4D176606"/>
    <w:rsid w:val="4DEC4FB0"/>
    <w:rsid w:val="4E075D8A"/>
    <w:rsid w:val="4EC00FAD"/>
    <w:rsid w:val="4F954F26"/>
    <w:rsid w:val="4F9843DC"/>
    <w:rsid w:val="4FC62A8C"/>
    <w:rsid w:val="4FE20F0D"/>
    <w:rsid w:val="4FE51552"/>
    <w:rsid w:val="50504C4B"/>
    <w:rsid w:val="509C6E7C"/>
    <w:rsid w:val="50C52F37"/>
    <w:rsid w:val="5162104E"/>
    <w:rsid w:val="5190269D"/>
    <w:rsid w:val="53A039CC"/>
    <w:rsid w:val="53A1505A"/>
    <w:rsid w:val="53AF6CD3"/>
    <w:rsid w:val="54063E08"/>
    <w:rsid w:val="543437E8"/>
    <w:rsid w:val="54F73313"/>
    <w:rsid w:val="54F80955"/>
    <w:rsid w:val="555170A7"/>
    <w:rsid w:val="5587536D"/>
    <w:rsid w:val="559B174B"/>
    <w:rsid w:val="55CE0CF4"/>
    <w:rsid w:val="56B22A9C"/>
    <w:rsid w:val="56D722D9"/>
    <w:rsid w:val="57B72A76"/>
    <w:rsid w:val="57C3426C"/>
    <w:rsid w:val="57CE1F93"/>
    <w:rsid w:val="586B3AD5"/>
    <w:rsid w:val="588743D1"/>
    <w:rsid w:val="5887701A"/>
    <w:rsid w:val="59C0439F"/>
    <w:rsid w:val="5ABE2233"/>
    <w:rsid w:val="5BB21C55"/>
    <w:rsid w:val="5BDF5D95"/>
    <w:rsid w:val="5BFE7528"/>
    <w:rsid w:val="5D3811F1"/>
    <w:rsid w:val="5D95322A"/>
    <w:rsid w:val="5E2467F1"/>
    <w:rsid w:val="5F1A2B43"/>
    <w:rsid w:val="5FB837BB"/>
    <w:rsid w:val="60CC405A"/>
    <w:rsid w:val="60CE672C"/>
    <w:rsid w:val="61E215D8"/>
    <w:rsid w:val="621B3775"/>
    <w:rsid w:val="62364782"/>
    <w:rsid w:val="637F7F92"/>
    <w:rsid w:val="6394356A"/>
    <w:rsid w:val="63C61B2C"/>
    <w:rsid w:val="63D40BE9"/>
    <w:rsid w:val="64102431"/>
    <w:rsid w:val="64A5243A"/>
    <w:rsid w:val="64BD0BE1"/>
    <w:rsid w:val="64F531DE"/>
    <w:rsid w:val="65373578"/>
    <w:rsid w:val="657257F0"/>
    <w:rsid w:val="67190104"/>
    <w:rsid w:val="671F124A"/>
    <w:rsid w:val="677A33C6"/>
    <w:rsid w:val="681F6961"/>
    <w:rsid w:val="68610A2F"/>
    <w:rsid w:val="68805514"/>
    <w:rsid w:val="69316E2F"/>
    <w:rsid w:val="694E2071"/>
    <w:rsid w:val="69766163"/>
    <w:rsid w:val="697A3B33"/>
    <w:rsid w:val="699B305B"/>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B0411F"/>
    <w:rsid w:val="71D27F8A"/>
    <w:rsid w:val="72553024"/>
    <w:rsid w:val="73122968"/>
    <w:rsid w:val="731F5D5E"/>
    <w:rsid w:val="73C51AD5"/>
    <w:rsid w:val="741E793C"/>
    <w:rsid w:val="745E3944"/>
    <w:rsid w:val="7635099D"/>
    <w:rsid w:val="77762421"/>
    <w:rsid w:val="77B56B1F"/>
    <w:rsid w:val="780F09F4"/>
    <w:rsid w:val="78A90480"/>
    <w:rsid w:val="79BB18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qFormat="1" w:unhideWhenUsed="0" w:uiPriority="99"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nhideWhenUsed="0"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link w:val="65"/>
    <w:qFormat/>
    <w:locked/>
    <w:uiPriority w:val="0"/>
    <w:pPr>
      <w:keepNext/>
      <w:keepLines/>
      <w:spacing w:line="360" w:lineRule="auto"/>
      <w:ind w:left="1277"/>
      <w:outlineLvl w:val="1"/>
    </w:pPr>
    <w:rPr>
      <w:b/>
      <w:bCs/>
      <w:sz w:val="32"/>
      <w:szCs w:val="32"/>
    </w:rPr>
  </w:style>
  <w:style w:type="paragraph" w:styleId="8">
    <w:name w:val="heading 3"/>
    <w:basedOn w:val="1"/>
    <w:next w:val="1"/>
    <w:link w:val="70"/>
    <w:qFormat/>
    <w:locked/>
    <w:uiPriority w:val="0"/>
    <w:pPr>
      <w:keepNext/>
      <w:keepLines/>
      <w:spacing w:line="360" w:lineRule="auto"/>
      <w:ind w:left="567"/>
      <w:outlineLvl w:val="2"/>
    </w:pPr>
    <w:rPr>
      <w:rFonts w:ascii="Calibri" w:hAnsi="Calibri"/>
      <w:b/>
      <w:bCs/>
      <w:sz w:val="28"/>
      <w:szCs w:val="28"/>
    </w:rPr>
  </w:style>
  <w:style w:type="paragraph" w:styleId="9">
    <w:name w:val="heading 4"/>
    <w:basedOn w:val="1"/>
    <w:next w:val="1"/>
    <w:link w:val="76"/>
    <w:qFormat/>
    <w:locked/>
    <w:uiPriority w:val="0"/>
    <w:pPr>
      <w:keepNext/>
      <w:keepLines/>
      <w:spacing w:before="280" w:after="290" w:line="376" w:lineRule="auto"/>
      <w:outlineLvl w:val="3"/>
    </w:pPr>
    <w:rPr>
      <w:rFonts w:ascii="Cambria" w:hAnsi="Cambria"/>
      <w:b/>
      <w:bCs/>
      <w:sz w:val="28"/>
      <w:szCs w:val="28"/>
    </w:rPr>
  </w:style>
  <w:style w:type="paragraph" w:styleId="10">
    <w:name w:val="heading 5"/>
    <w:basedOn w:val="1"/>
    <w:next w:val="1"/>
    <w:link w:val="53"/>
    <w:qFormat/>
    <w:locked/>
    <w:uiPriority w:val="0"/>
    <w:pPr>
      <w:keepNext/>
      <w:keepLines/>
      <w:spacing w:line="360" w:lineRule="auto"/>
      <w:jc w:val="left"/>
      <w:outlineLvl w:val="4"/>
    </w:pPr>
    <w:rPr>
      <w:bCs/>
      <w:sz w:val="24"/>
      <w:szCs w:val="28"/>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link w:val="62"/>
    <w:qFormat/>
    <w:uiPriority w:val="99"/>
    <w:pPr>
      <w:spacing w:after="120"/>
      <w:ind w:left="420" w:leftChars="200"/>
    </w:pPr>
    <w:rPr>
      <w:kern w:val="0"/>
      <w:sz w:val="24"/>
      <w:szCs w:val="20"/>
    </w:rPr>
  </w:style>
  <w:style w:type="paragraph" w:styleId="3">
    <w:name w:val="header"/>
    <w:basedOn w:val="1"/>
    <w:next w:val="4"/>
    <w:link w:val="4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4">
    <w:name w:val="样式5"/>
    <w:basedOn w:val="5"/>
    <w:qFormat/>
    <w:uiPriority w:val="0"/>
    <w:rPr>
      <w:rFonts w:eastAsia="Times New Roman"/>
      <w:sz w:val="30"/>
    </w:rPr>
  </w:style>
  <w:style w:type="paragraph" w:customStyle="1" w:styleId="5">
    <w:name w:val="font5"/>
    <w:basedOn w:val="1"/>
    <w:qFormat/>
    <w:uiPriority w:val="99"/>
    <w:pPr>
      <w:widowControl/>
      <w:spacing w:before="100" w:beforeAutospacing="1" w:after="100" w:afterAutospacing="1"/>
      <w:jc w:val="left"/>
    </w:pPr>
    <w:rPr>
      <w:sz w:val="18"/>
      <w:szCs w:val="18"/>
    </w:rPr>
  </w:style>
  <w:style w:type="paragraph" w:styleId="11">
    <w:name w:val="table of authorities"/>
    <w:basedOn w:val="1"/>
    <w:next w:val="1"/>
    <w:qFormat/>
    <w:locked/>
    <w:uiPriority w:val="0"/>
    <w:pPr>
      <w:spacing w:line="360" w:lineRule="auto"/>
      <w:ind w:firstLine="720" w:firstLineChars="200"/>
    </w:pPr>
  </w:style>
  <w:style w:type="paragraph" w:styleId="12">
    <w:name w:val="Normal Indent"/>
    <w:basedOn w:val="1"/>
    <w:next w:val="13"/>
    <w:link w:val="72"/>
    <w:qFormat/>
    <w:locked/>
    <w:uiPriority w:val="0"/>
    <w:pPr>
      <w:ind w:firstLine="420"/>
    </w:pPr>
    <w:rPr>
      <w:sz w:val="24"/>
    </w:rPr>
  </w:style>
  <w:style w:type="paragraph" w:customStyle="1" w:styleId="13">
    <w:name w:val="样式 正文文本 + 首行缩进:  2 字符"/>
    <w:qFormat/>
    <w:uiPriority w:val="0"/>
    <w:pPr>
      <w:widowControl w:val="0"/>
      <w:spacing w:after="120" w:line="480" w:lineRule="exact"/>
      <w:ind w:firstLine="480" w:firstLineChars="200"/>
      <w:jc w:val="both"/>
    </w:pPr>
    <w:rPr>
      <w:rFonts w:hint="eastAsia" w:ascii="宋体" w:hAnsi="宋体" w:eastAsia="宋体" w:cs="宋体"/>
      <w:kern w:val="2"/>
      <w:sz w:val="24"/>
      <w:lang w:val="en-US" w:eastAsia="zh-CN" w:bidi="ar-SA"/>
    </w:rPr>
  </w:style>
  <w:style w:type="paragraph" w:styleId="14">
    <w:name w:val="caption"/>
    <w:basedOn w:val="1"/>
    <w:next w:val="1"/>
    <w:link w:val="140"/>
    <w:qFormat/>
    <w:locked/>
    <w:uiPriority w:val="0"/>
    <w:pPr>
      <w:numPr>
        <w:ilvl w:val="0"/>
        <w:numId w:val="1"/>
      </w:numPr>
      <w:tabs>
        <w:tab w:val="left" w:pos="0"/>
        <w:tab w:val="clear" w:pos="360"/>
      </w:tabs>
      <w:jc w:val="center"/>
    </w:pPr>
    <w:rPr>
      <w:rFonts w:ascii="Arial" w:hAnsi="Arial" w:cs="Arial"/>
      <w:sz w:val="24"/>
    </w:rPr>
  </w:style>
  <w:style w:type="paragraph" w:styleId="15">
    <w:name w:val="annotation text"/>
    <w:basedOn w:val="1"/>
    <w:link w:val="57"/>
    <w:qFormat/>
    <w:uiPriority w:val="0"/>
    <w:pPr>
      <w:jc w:val="left"/>
    </w:pPr>
    <w:rPr>
      <w:kern w:val="0"/>
      <w:sz w:val="24"/>
      <w:szCs w:val="20"/>
    </w:rPr>
  </w:style>
  <w:style w:type="paragraph" w:styleId="16">
    <w:name w:val="Body Text"/>
    <w:basedOn w:val="1"/>
    <w:next w:val="17"/>
    <w:link w:val="67"/>
    <w:qFormat/>
    <w:uiPriority w:val="0"/>
    <w:pPr>
      <w:widowControl/>
      <w:snapToGrid w:val="0"/>
      <w:spacing w:before="60" w:after="160" w:line="259" w:lineRule="auto"/>
      <w:ind w:right="113"/>
    </w:pPr>
    <w:rPr>
      <w:kern w:val="0"/>
      <w:sz w:val="18"/>
      <w:szCs w:val="20"/>
    </w:rPr>
  </w:style>
  <w:style w:type="paragraph" w:customStyle="1" w:styleId="17">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kern w:val="0"/>
      <w:sz w:val="24"/>
    </w:rPr>
  </w:style>
  <w:style w:type="paragraph" w:styleId="18">
    <w:name w:val="Plain Text"/>
    <w:basedOn w:val="1"/>
    <w:link w:val="77"/>
    <w:qFormat/>
    <w:locked/>
    <w:uiPriority w:val="0"/>
    <w:pPr>
      <w:spacing w:line="240" w:lineRule="atLeast"/>
    </w:pPr>
    <w:rPr>
      <w:rFonts w:ascii="宋体" w:hAnsi="Courier New"/>
      <w:sz w:val="28"/>
      <w:szCs w:val="21"/>
    </w:rPr>
  </w:style>
  <w:style w:type="paragraph" w:styleId="19">
    <w:name w:val="Date"/>
    <w:basedOn w:val="1"/>
    <w:next w:val="1"/>
    <w:link w:val="75"/>
    <w:qFormat/>
    <w:uiPriority w:val="0"/>
    <w:pPr>
      <w:ind w:left="100" w:leftChars="2500"/>
    </w:pPr>
    <w:rPr>
      <w:kern w:val="0"/>
      <w:sz w:val="24"/>
      <w:szCs w:val="20"/>
    </w:rPr>
  </w:style>
  <w:style w:type="paragraph" w:styleId="20">
    <w:name w:val="Body Text Indent 2"/>
    <w:basedOn w:val="1"/>
    <w:link w:val="73"/>
    <w:qFormat/>
    <w:locked/>
    <w:uiPriority w:val="0"/>
    <w:pPr>
      <w:spacing w:after="120" w:line="480" w:lineRule="auto"/>
      <w:ind w:left="420" w:leftChars="200"/>
    </w:pPr>
  </w:style>
  <w:style w:type="paragraph" w:styleId="21">
    <w:name w:val="Balloon Text"/>
    <w:basedOn w:val="1"/>
    <w:link w:val="61"/>
    <w:semiHidden/>
    <w:qFormat/>
    <w:uiPriority w:val="0"/>
    <w:rPr>
      <w:kern w:val="0"/>
      <w:sz w:val="18"/>
      <w:szCs w:val="20"/>
    </w:rPr>
  </w:style>
  <w:style w:type="paragraph" w:styleId="22">
    <w:name w:val="footer"/>
    <w:basedOn w:val="1"/>
    <w:link w:val="47"/>
    <w:qFormat/>
    <w:uiPriority w:val="99"/>
    <w:pPr>
      <w:tabs>
        <w:tab w:val="center" w:pos="4153"/>
        <w:tab w:val="right" w:pos="8306"/>
      </w:tabs>
      <w:snapToGrid w:val="0"/>
      <w:jc w:val="left"/>
    </w:pPr>
    <w:rPr>
      <w:kern w:val="0"/>
      <w:sz w:val="18"/>
      <w:szCs w:val="20"/>
    </w:rPr>
  </w:style>
  <w:style w:type="paragraph" w:styleId="23">
    <w:name w:val="Body Text 2"/>
    <w:basedOn w:val="1"/>
    <w:link w:val="43"/>
    <w:qFormat/>
    <w:locked/>
    <w:uiPriority w:val="0"/>
    <w:pPr>
      <w:spacing w:after="120" w:line="480" w:lineRule="auto"/>
    </w:pPr>
  </w:style>
  <w:style w:type="paragraph" w:styleId="24">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5"/>
    <w:next w:val="15"/>
    <w:link w:val="39"/>
    <w:semiHidden/>
    <w:qFormat/>
    <w:uiPriority w:val="0"/>
    <w:rPr>
      <w:b/>
    </w:rPr>
  </w:style>
  <w:style w:type="paragraph" w:styleId="26">
    <w:name w:val="Body Text First Indent"/>
    <w:basedOn w:val="16"/>
    <w:link w:val="66"/>
    <w:qFormat/>
    <w:locked/>
    <w:uiPriority w:val="0"/>
    <w:pPr>
      <w:ind w:firstLine="420" w:firstLineChars="100"/>
    </w:pPr>
  </w:style>
  <w:style w:type="paragraph" w:styleId="27">
    <w:name w:val="Body Text First Indent 2"/>
    <w:basedOn w:val="2"/>
    <w:link w:val="56"/>
    <w:qFormat/>
    <w:locked/>
    <w:uiPriority w:val="0"/>
    <w:pPr>
      <w:ind w:firstLine="420" w:firstLineChars="200"/>
    </w:pPr>
    <w:rPr>
      <w:sz w:val="21"/>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qFormat/>
    <w:locked/>
    <w:uiPriority w:val="0"/>
  </w:style>
  <w:style w:type="character" w:styleId="32">
    <w:name w:val="Hyperlink"/>
    <w:qFormat/>
    <w:locked/>
    <w:uiPriority w:val="0"/>
    <w:rPr>
      <w:color w:val="0000FF"/>
      <w:u w:val="single"/>
    </w:rPr>
  </w:style>
  <w:style w:type="character" w:styleId="33">
    <w:name w:val="annotation reference"/>
    <w:qFormat/>
    <w:uiPriority w:val="0"/>
    <w:rPr>
      <w:sz w:val="21"/>
    </w:rPr>
  </w:style>
  <w:style w:type="character" w:customStyle="1" w:styleId="34">
    <w:name w:val="小标题 Char Char"/>
    <w:link w:val="35"/>
    <w:qFormat/>
    <w:uiPriority w:val="0"/>
    <w:rPr>
      <w:rFonts w:ascii="宋体" w:hAnsi="宋体" w:eastAsia="黑体" w:cs="宋体"/>
      <w:b/>
      <w:kern w:val="21"/>
      <w:sz w:val="24"/>
      <w:szCs w:val="24"/>
    </w:rPr>
  </w:style>
  <w:style w:type="paragraph" w:customStyle="1" w:styleId="35">
    <w:name w:val="小标题"/>
    <w:basedOn w:val="1"/>
    <w:link w:val="34"/>
    <w:qFormat/>
    <w:uiPriority w:val="0"/>
    <w:pPr>
      <w:adjustRightInd w:val="0"/>
      <w:snapToGrid w:val="0"/>
      <w:spacing w:line="360" w:lineRule="auto"/>
      <w:ind w:firstLine="480" w:firstLineChars="200"/>
    </w:pPr>
    <w:rPr>
      <w:rFonts w:ascii="宋体" w:hAnsi="宋体" w:eastAsia="黑体" w:cs="宋体"/>
      <w:b/>
      <w:kern w:val="21"/>
      <w:sz w:val="24"/>
    </w:rPr>
  </w:style>
  <w:style w:type="character" w:customStyle="1" w:styleId="36">
    <w:name w:val="页脚 字符"/>
    <w:basedOn w:val="30"/>
    <w:qFormat/>
    <w:uiPriority w:val="99"/>
  </w:style>
  <w:style w:type="character" w:customStyle="1" w:styleId="37">
    <w:name w:val="表格正文 Char"/>
    <w:link w:val="38"/>
    <w:qFormat/>
    <w:uiPriority w:val="0"/>
    <w:rPr>
      <w:rFonts w:ascii="宋体" w:hAnsi="宋体"/>
      <w:kern w:val="2"/>
      <w:sz w:val="24"/>
      <w:szCs w:val="24"/>
    </w:rPr>
  </w:style>
  <w:style w:type="paragraph" w:customStyle="1" w:styleId="38">
    <w:name w:val="表格正文"/>
    <w:basedOn w:val="1"/>
    <w:link w:val="37"/>
    <w:qFormat/>
    <w:uiPriority w:val="0"/>
    <w:pPr>
      <w:adjustRightInd w:val="0"/>
      <w:snapToGrid w:val="0"/>
      <w:jc w:val="center"/>
    </w:pPr>
    <w:rPr>
      <w:rFonts w:ascii="宋体" w:hAnsi="宋体"/>
      <w:sz w:val="24"/>
    </w:rPr>
  </w:style>
  <w:style w:type="character" w:customStyle="1" w:styleId="39">
    <w:name w:val="批注主题 Char"/>
    <w:link w:val="25"/>
    <w:semiHidden/>
    <w:qFormat/>
    <w:locked/>
    <w:uiPriority w:val="0"/>
    <w:rPr>
      <w:rFonts w:ascii="Times New Roman" w:hAnsi="Times New Roman" w:eastAsia="宋体"/>
      <w:b/>
      <w:kern w:val="2"/>
      <w:sz w:val="24"/>
    </w:rPr>
  </w:style>
  <w:style w:type="character" w:customStyle="1" w:styleId="40">
    <w:name w:val="表格标题新 Char Char"/>
    <w:link w:val="41"/>
    <w:qFormat/>
    <w:uiPriority w:val="0"/>
    <w:rPr>
      <w:rFonts w:ascii="黑体" w:eastAsia="黑体"/>
      <w:snapToGrid/>
      <w:spacing w:val="4"/>
      <w:sz w:val="24"/>
      <w:szCs w:val="24"/>
    </w:rPr>
  </w:style>
  <w:style w:type="paragraph" w:customStyle="1" w:styleId="41">
    <w:name w:val="表格标题新"/>
    <w:basedOn w:val="1"/>
    <w:link w:val="40"/>
    <w:qFormat/>
    <w:uiPriority w:val="0"/>
    <w:pPr>
      <w:tabs>
        <w:tab w:val="left" w:pos="0"/>
      </w:tabs>
      <w:adjustRightInd w:val="0"/>
      <w:snapToGrid w:val="0"/>
      <w:spacing w:before="156" w:beforeLines="50"/>
      <w:jc w:val="center"/>
    </w:pPr>
    <w:rPr>
      <w:rFonts w:ascii="黑体" w:eastAsia="黑体"/>
      <w:snapToGrid w:val="0"/>
      <w:spacing w:val="4"/>
      <w:kern w:val="0"/>
      <w:sz w:val="24"/>
    </w:rPr>
  </w:style>
  <w:style w:type="character" w:customStyle="1" w:styleId="42">
    <w:name w:val="普通(网站) Char"/>
    <w:link w:val="24"/>
    <w:qFormat/>
    <w:locked/>
    <w:uiPriority w:val="0"/>
    <w:rPr>
      <w:rFonts w:ascii="宋体" w:hAnsi="宋体" w:eastAsia="宋体"/>
      <w:sz w:val="24"/>
    </w:rPr>
  </w:style>
  <w:style w:type="character" w:customStyle="1" w:styleId="43">
    <w:name w:val="正文文本 2 Char"/>
    <w:link w:val="23"/>
    <w:qFormat/>
    <w:uiPriority w:val="0"/>
    <w:rPr>
      <w:kern w:val="2"/>
      <w:sz w:val="21"/>
      <w:szCs w:val="24"/>
    </w:rPr>
  </w:style>
  <w:style w:type="character" w:customStyle="1" w:styleId="44">
    <w:name w:val="页眉 Char"/>
    <w:link w:val="3"/>
    <w:qFormat/>
    <w:locked/>
    <w:uiPriority w:val="0"/>
    <w:rPr>
      <w:sz w:val="18"/>
    </w:rPr>
  </w:style>
  <w:style w:type="character" w:customStyle="1" w:styleId="45">
    <w:name w:val="font11"/>
    <w:qFormat/>
    <w:uiPriority w:val="0"/>
    <w:rPr>
      <w:rFonts w:hint="default" w:ascii="Times New Roman" w:hAnsi="Times New Roman" w:cs="Times New Roman"/>
      <w:color w:val="000000"/>
      <w:sz w:val="21"/>
      <w:szCs w:val="21"/>
      <w:u w:val="none"/>
      <w:vertAlign w:val="superscript"/>
    </w:rPr>
  </w:style>
  <w:style w:type="character" w:customStyle="1" w:styleId="46">
    <w:name w:val="日期 字符"/>
    <w:semiHidden/>
    <w:qFormat/>
    <w:uiPriority w:val="0"/>
    <w:rPr>
      <w:rFonts w:ascii="Times New Roman" w:hAnsi="Times New Roman" w:eastAsia="宋体"/>
      <w:sz w:val="24"/>
    </w:rPr>
  </w:style>
  <w:style w:type="character" w:customStyle="1" w:styleId="47">
    <w:name w:val="页脚 Char"/>
    <w:link w:val="22"/>
    <w:qFormat/>
    <w:locked/>
    <w:uiPriority w:val="99"/>
    <w:rPr>
      <w:sz w:val="18"/>
    </w:rPr>
  </w:style>
  <w:style w:type="character" w:customStyle="1" w:styleId="48">
    <w:name w:val="正本文字 Char"/>
    <w:link w:val="49"/>
    <w:qFormat/>
    <w:uiPriority w:val="0"/>
    <w:rPr>
      <w:rFonts w:cs="宋体"/>
      <w:kern w:val="18"/>
      <w:sz w:val="24"/>
    </w:rPr>
  </w:style>
  <w:style w:type="paragraph" w:customStyle="1" w:styleId="49">
    <w:name w:val="正本文字"/>
    <w:basedOn w:val="1"/>
    <w:link w:val="48"/>
    <w:qFormat/>
    <w:uiPriority w:val="0"/>
    <w:pPr>
      <w:adjustRightInd w:val="0"/>
      <w:snapToGrid w:val="0"/>
      <w:spacing w:line="360" w:lineRule="auto"/>
      <w:ind w:firstLine="200" w:firstLineChars="200"/>
      <w:jc w:val="left"/>
    </w:pPr>
    <w:rPr>
      <w:rFonts w:cs="宋体"/>
      <w:kern w:val="18"/>
      <w:sz w:val="24"/>
      <w:szCs w:val="20"/>
    </w:rPr>
  </w:style>
  <w:style w:type="character" w:customStyle="1" w:styleId="50">
    <w:name w:val="无间隔 Char"/>
    <w:link w:val="51"/>
    <w:qFormat/>
    <w:uiPriority w:val="99"/>
    <w:rPr>
      <w:b/>
      <w:sz w:val="24"/>
      <w:szCs w:val="24"/>
    </w:rPr>
  </w:style>
  <w:style w:type="paragraph" w:styleId="51">
    <w:name w:val="No Spacing"/>
    <w:link w:val="50"/>
    <w:qFormat/>
    <w:uiPriority w:val="99"/>
    <w:pPr>
      <w:jc w:val="center"/>
    </w:pPr>
    <w:rPr>
      <w:rFonts w:ascii="Times New Roman" w:hAnsi="Times New Roman" w:eastAsia="宋体" w:cs="Times New Roman"/>
      <w:b/>
      <w:sz w:val="24"/>
      <w:szCs w:val="24"/>
      <w:lang w:val="en-US" w:eastAsia="zh-CN" w:bidi="ar-SA"/>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标题 5 Char"/>
    <w:link w:val="10"/>
    <w:qFormat/>
    <w:uiPriority w:val="0"/>
    <w:rPr>
      <w:bCs/>
      <w:kern w:val="2"/>
      <w:sz w:val="24"/>
      <w:szCs w:val="28"/>
    </w:rPr>
  </w:style>
  <w:style w:type="character" w:customStyle="1" w:styleId="54">
    <w:name w:val="正文文本 字符1"/>
    <w:semiHidden/>
    <w:qFormat/>
    <w:uiPriority w:val="0"/>
    <w:rPr>
      <w:rFonts w:ascii="Times New Roman" w:hAnsi="Times New Roman" w:eastAsia="宋体"/>
      <w:sz w:val="24"/>
    </w:rPr>
  </w:style>
  <w:style w:type="character" w:customStyle="1" w:styleId="55">
    <w:name w:val="f241"/>
    <w:qFormat/>
    <w:uiPriority w:val="0"/>
    <w:rPr>
      <w:sz w:val="36"/>
      <w:szCs w:val="36"/>
    </w:rPr>
  </w:style>
  <w:style w:type="character" w:customStyle="1" w:styleId="56">
    <w:name w:val="正文首行缩进 2 Char"/>
    <w:link w:val="27"/>
    <w:qFormat/>
    <w:uiPriority w:val="0"/>
    <w:rPr>
      <w:rFonts w:ascii="Times New Roman" w:hAnsi="Times New Roman" w:eastAsia="宋体"/>
      <w:sz w:val="21"/>
    </w:rPr>
  </w:style>
  <w:style w:type="character" w:customStyle="1" w:styleId="57">
    <w:name w:val="批注文字 Char"/>
    <w:link w:val="15"/>
    <w:qFormat/>
    <w:locked/>
    <w:uiPriority w:val="0"/>
    <w:rPr>
      <w:rFonts w:ascii="Times New Roman" w:hAnsi="Times New Roman" w:eastAsia="宋体"/>
      <w:sz w:val="24"/>
    </w:rPr>
  </w:style>
  <w:style w:type="character" w:customStyle="1" w:styleId="58">
    <w:name w:val="lgg表格文本 Char"/>
    <w:link w:val="59"/>
    <w:qFormat/>
    <w:uiPriority w:val="0"/>
    <w:rPr>
      <w:kern w:val="2"/>
      <w:sz w:val="21"/>
      <w:szCs w:val="21"/>
    </w:rPr>
  </w:style>
  <w:style w:type="paragraph" w:customStyle="1" w:styleId="59">
    <w:name w:val="lgg表格文本"/>
    <w:basedOn w:val="60"/>
    <w:link w:val="58"/>
    <w:qFormat/>
    <w:uiPriority w:val="0"/>
    <w:pPr>
      <w:adjustRightInd w:val="0"/>
      <w:spacing w:line="240" w:lineRule="auto"/>
      <w:ind w:firstLine="0" w:firstLineChars="0"/>
      <w:jc w:val="center"/>
    </w:pPr>
    <w:rPr>
      <w:rFonts w:ascii="Times New Roman" w:hAnsi="Times New Roman"/>
      <w:sz w:val="21"/>
      <w:szCs w:val="21"/>
    </w:rPr>
  </w:style>
  <w:style w:type="paragraph" w:customStyle="1" w:styleId="60">
    <w:name w:val="lgg文本"/>
    <w:basedOn w:val="1"/>
    <w:link w:val="71"/>
    <w:qFormat/>
    <w:uiPriority w:val="0"/>
    <w:pPr>
      <w:snapToGrid w:val="0"/>
      <w:spacing w:line="360" w:lineRule="auto"/>
      <w:ind w:firstLine="200" w:firstLineChars="200"/>
    </w:pPr>
    <w:rPr>
      <w:rFonts w:ascii="Calibri" w:hAnsi="Calibri"/>
      <w:sz w:val="24"/>
    </w:rPr>
  </w:style>
  <w:style w:type="character" w:customStyle="1" w:styleId="61">
    <w:name w:val="批注框文本 Char"/>
    <w:link w:val="21"/>
    <w:semiHidden/>
    <w:qFormat/>
    <w:locked/>
    <w:uiPriority w:val="0"/>
    <w:rPr>
      <w:rFonts w:ascii="Times New Roman" w:hAnsi="Times New Roman" w:eastAsia="宋体"/>
      <w:sz w:val="18"/>
    </w:rPr>
  </w:style>
  <w:style w:type="character" w:customStyle="1" w:styleId="62">
    <w:name w:val="正文文本缩进 Char"/>
    <w:link w:val="2"/>
    <w:semiHidden/>
    <w:qFormat/>
    <w:locked/>
    <w:uiPriority w:val="99"/>
    <w:rPr>
      <w:rFonts w:ascii="Times New Roman" w:hAnsi="Times New Roman" w:eastAsia="宋体"/>
      <w:sz w:val="24"/>
    </w:rPr>
  </w:style>
  <w:style w:type="character" w:customStyle="1" w:styleId="63">
    <w:name w:val="表格 Char"/>
    <w:link w:val="64"/>
    <w:qFormat/>
    <w:locked/>
    <w:uiPriority w:val="0"/>
    <w:rPr>
      <w:rFonts w:ascii="宋体"/>
      <w:sz w:val="21"/>
    </w:rPr>
  </w:style>
  <w:style w:type="paragraph" w:customStyle="1" w:styleId="64">
    <w:name w:val="表格"/>
    <w:basedOn w:val="12"/>
    <w:next w:val="1"/>
    <w:link w:val="63"/>
    <w:qFormat/>
    <w:uiPriority w:val="0"/>
    <w:pPr>
      <w:adjustRightInd w:val="0"/>
      <w:snapToGrid w:val="0"/>
      <w:spacing w:beforeLines="10" w:afterLines="10" w:line="259" w:lineRule="auto"/>
      <w:jc w:val="center"/>
    </w:pPr>
    <w:rPr>
      <w:rFonts w:ascii="宋体"/>
      <w:kern w:val="0"/>
      <w:szCs w:val="20"/>
    </w:rPr>
  </w:style>
  <w:style w:type="character" w:customStyle="1" w:styleId="65">
    <w:name w:val="标题 2 Char"/>
    <w:link w:val="7"/>
    <w:qFormat/>
    <w:uiPriority w:val="0"/>
    <w:rPr>
      <w:b/>
      <w:bCs/>
      <w:kern w:val="2"/>
      <w:sz w:val="32"/>
      <w:szCs w:val="32"/>
    </w:rPr>
  </w:style>
  <w:style w:type="character" w:customStyle="1" w:styleId="66">
    <w:name w:val="正文首行缩进 Char"/>
    <w:basedOn w:val="67"/>
    <w:link w:val="26"/>
    <w:qFormat/>
    <w:uiPriority w:val="0"/>
    <w:rPr>
      <w:sz w:val="18"/>
    </w:rPr>
  </w:style>
  <w:style w:type="character" w:customStyle="1" w:styleId="67">
    <w:name w:val="正文文本 Char"/>
    <w:link w:val="16"/>
    <w:qFormat/>
    <w:locked/>
    <w:uiPriority w:val="0"/>
    <w:rPr>
      <w:sz w:val="18"/>
    </w:rPr>
  </w:style>
  <w:style w:type="character" w:customStyle="1" w:styleId="68">
    <w:name w:val="R22表头 Char"/>
    <w:link w:val="69"/>
    <w:qFormat/>
    <w:uiPriority w:val="0"/>
    <w:rPr>
      <w:rFonts w:hAnsi="宋体"/>
      <w:b/>
      <w:color w:val="000000"/>
      <w:sz w:val="24"/>
      <w:szCs w:val="24"/>
    </w:rPr>
  </w:style>
  <w:style w:type="paragraph" w:customStyle="1" w:styleId="69">
    <w:name w:val="R22表头"/>
    <w:basedOn w:val="1"/>
    <w:link w:val="68"/>
    <w:qFormat/>
    <w:uiPriority w:val="0"/>
    <w:pPr>
      <w:autoSpaceDE w:val="0"/>
      <w:autoSpaceDN w:val="0"/>
      <w:adjustRightInd w:val="0"/>
      <w:snapToGrid w:val="0"/>
      <w:spacing w:beforeLines="50"/>
      <w:jc w:val="center"/>
    </w:pPr>
    <w:rPr>
      <w:rFonts w:hAnsi="宋体"/>
      <w:b/>
      <w:color w:val="000000"/>
      <w:kern w:val="0"/>
      <w:sz w:val="24"/>
    </w:rPr>
  </w:style>
  <w:style w:type="character" w:customStyle="1" w:styleId="70">
    <w:name w:val="标题 3 Char"/>
    <w:link w:val="8"/>
    <w:qFormat/>
    <w:uiPriority w:val="0"/>
    <w:rPr>
      <w:rFonts w:ascii="Calibri" w:hAnsi="Calibri"/>
      <w:b/>
      <w:bCs/>
      <w:kern w:val="2"/>
      <w:sz w:val="28"/>
      <w:szCs w:val="28"/>
    </w:rPr>
  </w:style>
  <w:style w:type="character" w:customStyle="1" w:styleId="71">
    <w:name w:val="lgg文本 Char"/>
    <w:link w:val="60"/>
    <w:qFormat/>
    <w:uiPriority w:val="0"/>
    <w:rPr>
      <w:rFonts w:ascii="Calibri" w:hAnsi="Calibri"/>
      <w:kern w:val="2"/>
      <w:sz w:val="24"/>
      <w:szCs w:val="24"/>
    </w:rPr>
  </w:style>
  <w:style w:type="character" w:customStyle="1" w:styleId="72">
    <w:name w:val="正文缩进 Char"/>
    <w:link w:val="12"/>
    <w:qFormat/>
    <w:uiPriority w:val="0"/>
    <w:rPr>
      <w:kern w:val="2"/>
      <w:sz w:val="24"/>
      <w:szCs w:val="24"/>
    </w:rPr>
  </w:style>
  <w:style w:type="character" w:customStyle="1" w:styleId="73">
    <w:name w:val="正文文本缩进 2 Char"/>
    <w:link w:val="20"/>
    <w:qFormat/>
    <w:uiPriority w:val="0"/>
    <w:rPr>
      <w:kern w:val="2"/>
      <w:sz w:val="21"/>
      <w:szCs w:val="24"/>
    </w:rPr>
  </w:style>
  <w:style w:type="character" w:customStyle="1" w:styleId="74">
    <w:name w:val="font21"/>
    <w:qFormat/>
    <w:uiPriority w:val="0"/>
    <w:rPr>
      <w:rFonts w:hint="eastAsia" w:ascii="宋体" w:hAnsi="宋体" w:eastAsia="宋体" w:cs="宋体"/>
      <w:color w:val="000000"/>
      <w:sz w:val="21"/>
      <w:szCs w:val="21"/>
      <w:u w:val="none"/>
    </w:rPr>
  </w:style>
  <w:style w:type="character" w:customStyle="1" w:styleId="75">
    <w:name w:val="日期 Char"/>
    <w:link w:val="19"/>
    <w:qFormat/>
    <w:locked/>
    <w:uiPriority w:val="0"/>
    <w:rPr>
      <w:rFonts w:ascii="Times New Roman" w:hAnsi="Times New Roman" w:eastAsia="宋体"/>
      <w:sz w:val="24"/>
    </w:rPr>
  </w:style>
  <w:style w:type="character" w:customStyle="1" w:styleId="76">
    <w:name w:val="标题 4 Char"/>
    <w:link w:val="9"/>
    <w:semiHidden/>
    <w:qFormat/>
    <w:uiPriority w:val="0"/>
    <w:rPr>
      <w:rFonts w:ascii="Cambria" w:hAnsi="Cambria" w:eastAsia="宋体" w:cs="Times New Roman"/>
      <w:b/>
      <w:bCs/>
      <w:kern w:val="2"/>
      <w:sz w:val="28"/>
      <w:szCs w:val="28"/>
    </w:rPr>
  </w:style>
  <w:style w:type="character" w:customStyle="1" w:styleId="77">
    <w:name w:val="纯文本 Char"/>
    <w:link w:val="18"/>
    <w:qFormat/>
    <w:uiPriority w:val="0"/>
    <w:rPr>
      <w:rFonts w:ascii="宋体" w:hAnsi="Courier New"/>
      <w:kern w:val="2"/>
      <w:sz w:val="28"/>
      <w:szCs w:val="21"/>
    </w:rPr>
  </w:style>
  <w:style w:type="paragraph" w:customStyle="1" w:styleId="78">
    <w:name w:val="样式 样式 样式 首行缩进:  2 字符 + 首行缩进:  2 字符 + 首行缩进:  2 字符"/>
    <w:basedOn w:val="1"/>
    <w:qFormat/>
    <w:uiPriority w:val="0"/>
    <w:pPr>
      <w:spacing w:line="360" w:lineRule="auto"/>
      <w:ind w:firstLine="480" w:firstLineChars="200"/>
    </w:pPr>
    <w:rPr>
      <w:rFonts w:eastAsia="仿宋_GB2312" w:cs="宋体"/>
      <w:sz w:val="24"/>
      <w:szCs w:val="20"/>
    </w:rPr>
  </w:style>
  <w:style w:type="paragraph" w:customStyle="1" w:styleId="79">
    <w:name w:val="表格中文字"/>
    <w:basedOn w:val="1"/>
    <w:qFormat/>
    <w:uiPriority w:val="0"/>
    <w:pPr>
      <w:adjustRightInd w:val="0"/>
      <w:snapToGrid w:val="0"/>
      <w:jc w:val="center"/>
    </w:pPr>
    <w:rPr>
      <w:kern w:val="18"/>
      <w:sz w:val="20"/>
      <w:szCs w:val="21"/>
    </w:rPr>
  </w:style>
  <w:style w:type="paragraph" w:customStyle="1" w:styleId="80">
    <w:name w:val="正文2"/>
    <w:basedOn w:val="1"/>
    <w:qFormat/>
    <w:uiPriority w:val="0"/>
    <w:pPr>
      <w:adjustRightInd w:val="0"/>
      <w:snapToGrid w:val="0"/>
      <w:spacing w:line="440" w:lineRule="atLeast"/>
      <w:ind w:firstLine="567"/>
    </w:pPr>
    <w:rPr>
      <w:sz w:val="24"/>
      <w:szCs w:val="20"/>
    </w:rPr>
  </w:style>
  <w:style w:type="paragraph" w:customStyle="1" w:styleId="81">
    <w:name w:val="表题"/>
    <w:qFormat/>
    <w:uiPriority w:val="0"/>
    <w:pPr>
      <w:snapToGrid w:val="0"/>
      <w:spacing w:line="360" w:lineRule="auto"/>
      <w:jc w:val="center"/>
    </w:pPr>
    <w:rPr>
      <w:rFonts w:ascii="Times New Roman" w:hAnsi="Times New Roman" w:eastAsia="宋体" w:cs="Times New Roman"/>
      <w:b/>
      <w:kern w:val="2"/>
      <w:sz w:val="24"/>
      <w:szCs w:val="21"/>
      <w:lang w:val="en-US" w:eastAsia="zh-CN" w:bidi="ar-SA"/>
    </w:rPr>
  </w:style>
  <w:style w:type="paragraph" w:customStyle="1" w:styleId="82">
    <w:name w:val="表中文字0720"/>
    <w:basedOn w:val="1"/>
    <w:qFormat/>
    <w:uiPriority w:val="0"/>
    <w:pPr>
      <w:snapToGrid w:val="0"/>
      <w:jc w:val="center"/>
    </w:pPr>
    <w:rPr>
      <w:rFonts w:ascii="Calibri" w:hAnsi="Calibri"/>
      <w:snapToGrid w:val="0"/>
      <w:color w:val="000000"/>
      <w:spacing w:val="4"/>
      <w:szCs w:val="21"/>
    </w:rPr>
  </w:style>
  <w:style w:type="paragraph" w:customStyle="1" w:styleId="83">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正文lcc"/>
    <w:basedOn w:val="1"/>
    <w:qFormat/>
    <w:uiPriority w:val="0"/>
    <w:pPr>
      <w:overflowPunct w:val="0"/>
      <w:adjustRightInd w:val="0"/>
      <w:snapToGrid w:val="0"/>
      <w:spacing w:line="360" w:lineRule="auto"/>
      <w:ind w:firstLine="200" w:firstLineChars="200"/>
    </w:pPr>
    <w:rPr>
      <w:rFonts w:ascii="Calibri" w:hAnsi="Calibri" w:eastAsia="Times New Roman"/>
      <w:kern w:val="24"/>
      <w:sz w:val="24"/>
      <w:szCs w:val="20"/>
    </w:rPr>
  </w:style>
  <w:style w:type="paragraph" w:customStyle="1" w:styleId="86">
    <w:name w:val="Table Paragraph"/>
    <w:basedOn w:val="1"/>
    <w:qFormat/>
    <w:uiPriority w:val="1"/>
    <w:rPr>
      <w:rFonts w:ascii="仿宋" w:hAnsi="仿宋" w:eastAsia="仿宋" w:cs="仿宋"/>
      <w:lang w:val="zh-CN" w:bidi="zh-CN"/>
    </w:rPr>
  </w:style>
  <w:style w:type="paragraph" w:customStyle="1" w:styleId="87">
    <w:name w:val="正文首行缩进 2 + Times New Roman"/>
    <w:basedOn w:val="1"/>
    <w:unhideWhenUsed/>
    <w:qFormat/>
    <w:uiPriority w:val="0"/>
    <w:pPr>
      <w:widowControl/>
      <w:tabs>
        <w:tab w:val="left" w:pos="0"/>
        <w:tab w:val="left" w:pos="870"/>
        <w:tab w:val="left" w:pos="990"/>
        <w:tab w:val="left" w:pos="1620"/>
      </w:tabs>
      <w:autoSpaceDE w:val="0"/>
      <w:autoSpaceDN w:val="0"/>
      <w:adjustRightInd w:val="0"/>
      <w:snapToGrid w:val="0"/>
      <w:spacing w:after="200" w:line="360" w:lineRule="auto"/>
      <w:ind w:firstLine="472" w:firstLineChars="196"/>
      <w:jc w:val="left"/>
    </w:pPr>
    <w:rPr>
      <w:rFonts w:hint="eastAsia" w:ascii="宋体" w:hAnsi="宋体" w:eastAsia="微软雅黑"/>
      <w:color w:val="000000"/>
      <w:kern w:val="0"/>
      <w:szCs w:val="22"/>
    </w:rPr>
  </w:style>
  <w:style w:type="paragraph" w:customStyle="1" w:styleId="88">
    <w:name w:val="图1.1-1"/>
    <w:basedOn w:val="1"/>
    <w:next w:val="2"/>
    <w:qFormat/>
    <w:uiPriority w:val="99"/>
    <w:pPr>
      <w:spacing w:afterLines="50"/>
      <w:jc w:val="center"/>
    </w:pPr>
    <w:rPr>
      <w:b/>
      <w:sz w:val="24"/>
    </w:rPr>
  </w:style>
  <w:style w:type="paragraph" w:customStyle="1" w:styleId="89">
    <w:name w:val="正文 H"/>
    <w:basedOn w:val="1"/>
    <w:qFormat/>
    <w:uiPriority w:val="0"/>
    <w:pPr>
      <w:ind w:firstLine="200" w:firstLineChars="200"/>
    </w:pPr>
    <w:rPr>
      <w:rFonts w:ascii="宋体" w:hAnsi="Calibri"/>
      <w:snapToGrid w:val="0"/>
      <w:kern w:val="0"/>
      <w:sz w:val="24"/>
      <w:szCs w:val="22"/>
    </w:rPr>
  </w:style>
  <w:style w:type="paragraph" w:customStyle="1" w:styleId="90">
    <w:name w:val="1正文段落"/>
    <w:basedOn w:val="1"/>
    <w:qFormat/>
    <w:uiPriority w:val="0"/>
    <w:pPr>
      <w:spacing w:line="360" w:lineRule="auto"/>
      <w:ind w:firstLine="480" w:firstLineChars="200"/>
      <w:jc w:val="left"/>
    </w:pPr>
    <w:rPr>
      <w:snapToGrid w:val="0"/>
      <w:kern w:val="0"/>
      <w:sz w:val="20"/>
      <w:szCs w:val="20"/>
    </w:rPr>
  </w:style>
  <w:style w:type="paragraph" w:customStyle="1" w:styleId="91">
    <w:name w:val="0正文"/>
    <w:basedOn w:val="1"/>
    <w:qFormat/>
    <w:uiPriority w:val="0"/>
    <w:pPr>
      <w:adjustRightInd w:val="0"/>
      <w:snapToGrid w:val="0"/>
      <w:spacing w:line="360" w:lineRule="auto"/>
      <w:ind w:firstLine="200" w:firstLineChars="200"/>
    </w:pPr>
    <w:rPr>
      <w:sz w:val="24"/>
    </w:rPr>
  </w:style>
  <w:style w:type="paragraph" w:customStyle="1" w:styleId="92">
    <w:name w:val="表格字体文本"/>
    <w:basedOn w:val="1"/>
    <w:next w:val="1"/>
    <w:qFormat/>
    <w:uiPriority w:val="0"/>
    <w:pPr>
      <w:autoSpaceDE w:val="0"/>
      <w:autoSpaceDN w:val="0"/>
      <w:jc w:val="center"/>
    </w:pPr>
    <w:rPr>
      <w:rFonts w:cs="宋体"/>
      <w:kern w:val="0"/>
      <w:szCs w:val="21"/>
    </w:rPr>
  </w:style>
  <w:style w:type="paragraph" w:customStyle="1" w:styleId="93">
    <w:name w:val="lgg表格内文字"/>
    <w:basedOn w:val="1"/>
    <w:qFormat/>
    <w:uiPriority w:val="0"/>
    <w:pPr>
      <w:keepNext/>
      <w:keepLines/>
      <w:snapToGrid w:val="0"/>
      <w:jc w:val="center"/>
    </w:pPr>
    <w:rPr>
      <w:bCs/>
      <w:szCs w:val="32"/>
    </w:rPr>
  </w:style>
  <w:style w:type="paragraph" w:customStyle="1" w:styleId="94">
    <w:name w:val="Default"/>
    <w:next w:val="1"/>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95">
    <w:name w:val="废气编号"/>
    <w:basedOn w:val="96"/>
    <w:qFormat/>
    <w:uiPriority w:val="99"/>
    <w:pPr>
      <w:ind w:left="283" w:firstLine="0" w:firstLineChars="0"/>
      <w:jc w:val="center"/>
    </w:pPr>
    <w:rPr>
      <w:sz w:val="18"/>
      <w:szCs w:val="22"/>
    </w:rPr>
  </w:style>
  <w:style w:type="paragraph" w:styleId="96">
    <w:name w:val="List Paragraph"/>
    <w:basedOn w:val="1"/>
    <w:qFormat/>
    <w:uiPriority w:val="34"/>
    <w:pPr>
      <w:ind w:firstLine="420" w:firstLineChars="200"/>
    </w:pPr>
    <w:rPr>
      <w:szCs w:val="20"/>
    </w:rPr>
  </w:style>
  <w:style w:type="paragraph" w:customStyle="1" w:styleId="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8">
    <w:name w:val="2"/>
    <w:basedOn w:val="1"/>
    <w:next w:val="1"/>
    <w:qFormat/>
    <w:uiPriority w:val="0"/>
    <w:pPr>
      <w:adjustRightInd w:val="0"/>
      <w:snapToGrid w:val="0"/>
      <w:spacing w:before="156" w:beforeLines="50" w:after="156" w:afterLines="50" w:line="360" w:lineRule="auto"/>
    </w:pPr>
    <w:rPr>
      <w:b/>
      <w:sz w:val="24"/>
      <w:szCs w:val="28"/>
    </w:rPr>
  </w:style>
  <w:style w:type="paragraph" w:customStyle="1" w:styleId="99">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100">
    <w:name w:val="（.a正文"/>
    <w:qFormat/>
    <w:uiPriority w:val="0"/>
    <w:pPr>
      <w:adjustRightInd w:val="0"/>
      <w:spacing w:line="480" w:lineRule="exact"/>
      <w:ind w:firstLine="200" w:firstLineChars="200"/>
      <w:jc w:val="both"/>
    </w:pPr>
    <w:rPr>
      <w:rFonts w:ascii="Calibri" w:hAnsi="Calibri" w:eastAsia="宋体" w:cs="Arial"/>
      <w:bCs/>
      <w:kern w:val="2"/>
      <w:sz w:val="24"/>
      <w:szCs w:val="24"/>
      <w:lang w:val="en-US" w:eastAsia="zh-CN" w:bidi="ar-SA"/>
    </w:rPr>
  </w:style>
  <w:style w:type="paragraph" w:customStyle="1" w:styleId="101">
    <w:name w:val="正文-lcc"/>
    <w:basedOn w:val="1"/>
    <w:qFormat/>
    <w:uiPriority w:val="0"/>
    <w:pPr>
      <w:snapToGrid w:val="0"/>
      <w:spacing w:line="360" w:lineRule="auto"/>
      <w:ind w:firstLine="200" w:firstLineChars="200"/>
    </w:pPr>
    <w:rPr>
      <w:rFonts w:eastAsia="仿宋"/>
      <w:color w:val="000000"/>
      <w:sz w:val="24"/>
    </w:rPr>
  </w:style>
  <w:style w:type="paragraph" w:customStyle="1" w:styleId="102">
    <w:name w:val="无间隔1"/>
    <w:qFormat/>
    <w:uiPriority w:val="1"/>
    <w:pPr>
      <w:numPr>
        <w:ilvl w:val="5"/>
        <w:numId w:val="2"/>
      </w:numPr>
      <w:tabs>
        <w:tab w:val="left" w:pos="0"/>
        <w:tab w:val="clear" w:pos="2019"/>
      </w:tabs>
      <w:spacing w:beforeLines="25"/>
      <w:ind w:left="0"/>
      <w:jc w:val="center"/>
    </w:pPr>
    <w:rPr>
      <w:rFonts w:ascii="Times New Roman" w:hAnsi="Times New Roman" w:eastAsia="宋体" w:cs="Times New Roman"/>
      <w:b/>
      <w:sz w:val="24"/>
      <w:szCs w:val="22"/>
      <w:lang w:val="en-US" w:eastAsia="zh-CN" w:bidi="ar-SA"/>
    </w:rPr>
  </w:style>
  <w:style w:type="paragraph" w:customStyle="1" w:styleId="103">
    <w:name w:val="简单回函地址"/>
    <w:basedOn w:val="1"/>
    <w:qFormat/>
    <w:uiPriority w:val="0"/>
    <w:rPr>
      <w:sz w:val="24"/>
      <w:szCs w:val="20"/>
    </w:rPr>
  </w:style>
  <w:style w:type="paragraph" w:customStyle="1" w:styleId="10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Char Char Char Char1"/>
    <w:basedOn w:val="1"/>
    <w:qFormat/>
    <w:uiPriority w:val="0"/>
    <w:rPr>
      <w:sz w:val="24"/>
    </w:rPr>
  </w:style>
  <w:style w:type="paragraph" w:customStyle="1" w:styleId="106">
    <w:name w:val="WPS Plain"/>
    <w:qFormat/>
    <w:uiPriority w:val="0"/>
    <w:rPr>
      <w:rFonts w:ascii="Times New Roman" w:hAnsi="Times New Roman" w:eastAsia="宋体" w:cs="Calibri"/>
      <w:lang w:val="en-US" w:eastAsia="zh-CN" w:bidi="ar-SA"/>
    </w:rPr>
  </w:style>
  <w:style w:type="table" w:customStyle="1" w:styleId="107">
    <w:name w:val="king"/>
    <w:basedOn w:val="28"/>
    <w:qFormat/>
    <w:uiPriority w:val="99"/>
    <w:pPr>
      <w:jc w:val="both"/>
    </w:pPr>
    <w:tblPr>
      <w:tblBorders>
        <w:top w:val="thickThinMediumGap" w:color="auto" w:sz="12" w:space="0"/>
        <w:bottom w:val="thinThickSmallGap"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08">
    <w:name w:val="aaaaa表格1"/>
    <w:basedOn w:val="28"/>
    <w:qFormat/>
    <w:uiPriority w:val="0"/>
    <w:pPr>
      <w:jc w:val="center"/>
    </w:pPr>
    <w:rPr>
      <w:rFonts w:ascii="Calibri" w:hAnsi="Calibri"/>
      <w:sz w:val="21"/>
    </w:rPr>
    <w:tblPr>
      <w:tblBorders>
        <w:top w:val="thinThickSmallGap" w:color="auto" w:sz="12" w:space="0"/>
        <w:bottom w:val="thinThickSmallGap"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09">
    <w:name w:val="普通(网站) 字符"/>
    <w:qFormat/>
    <w:locked/>
    <w:uiPriority w:val="0"/>
    <w:rPr>
      <w:rFonts w:ascii="宋体" w:hAnsi="宋体" w:eastAsia="宋体"/>
      <w:sz w:val="24"/>
    </w:rPr>
  </w:style>
  <w:style w:type="paragraph" w:customStyle="1" w:styleId="110">
    <w:name w:val="字元 字元 Char Char 字元 字元1"/>
    <w:basedOn w:val="1"/>
    <w:qFormat/>
    <w:uiPriority w:val="0"/>
  </w:style>
  <w:style w:type="character" w:customStyle="1" w:styleId="111">
    <w:name w:val="正文文本缩进 2 字符"/>
    <w:qFormat/>
    <w:uiPriority w:val="0"/>
    <w:rPr>
      <w:rFonts w:ascii="Times New Roman" w:hAnsi="Times New Roman" w:eastAsia="宋体"/>
      <w:kern w:val="2"/>
      <w:sz w:val="24"/>
      <w:szCs w:val="24"/>
    </w:rPr>
  </w:style>
  <w:style w:type="character" w:customStyle="1" w:styleId="112">
    <w:name w:val="正文文本 字符"/>
    <w:qFormat/>
    <w:locked/>
    <w:uiPriority w:val="0"/>
    <w:rPr>
      <w:sz w:val="18"/>
    </w:rPr>
  </w:style>
  <w:style w:type="character" w:customStyle="1" w:styleId="113">
    <w:name w:val="表格 32 Char"/>
    <w:link w:val="114"/>
    <w:qFormat/>
    <w:uiPriority w:val="0"/>
    <w:rPr>
      <w:rFonts w:eastAsia="楷体_GB2312"/>
      <w:sz w:val="24"/>
    </w:rPr>
  </w:style>
  <w:style w:type="paragraph" w:customStyle="1" w:styleId="114">
    <w:name w:val="表格 32"/>
    <w:basedOn w:val="1"/>
    <w:link w:val="113"/>
    <w:qFormat/>
    <w:uiPriority w:val="0"/>
    <w:pPr>
      <w:autoSpaceDE w:val="0"/>
      <w:autoSpaceDN w:val="0"/>
      <w:adjustRightInd w:val="0"/>
      <w:jc w:val="center"/>
      <w:textAlignment w:val="baseline"/>
    </w:pPr>
    <w:rPr>
      <w:rFonts w:eastAsia="楷体_GB2312"/>
      <w:kern w:val="0"/>
      <w:sz w:val="24"/>
      <w:szCs w:val="20"/>
    </w:rPr>
  </w:style>
  <w:style w:type="paragraph" w:customStyle="1" w:styleId="115">
    <w:name w:val="表格文字"/>
    <w:qFormat/>
    <w:uiPriority w:val="0"/>
    <w:pPr>
      <w:spacing w:beforeLines="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116">
    <w:name w:val="表体"/>
    <w:basedOn w:val="1"/>
    <w:qFormat/>
    <w:uiPriority w:val="0"/>
    <w:pPr>
      <w:spacing w:before="40" w:after="40"/>
      <w:jc w:val="center"/>
    </w:pPr>
    <w:rPr>
      <w:rFonts w:ascii="Calibri" w:hAnsi="Calibri"/>
      <w:szCs w:val="21"/>
    </w:rPr>
  </w:style>
  <w:style w:type="paragraph" w:customStyle="1" w:styleId="117">
    <w:name w:val="正文(邵)"/>
    <w:basedOn w:val="1"/>
    <w:qFormat/>
    <w:uiPriority w:val="0"/>
    <w:pPr>
      <w:widowControl/>
      <w:adjustRightInd w:val="0"/>
      <w:snapToGrid w:val="0"/>
      <w:spacing w:line="360" w:lineRule="auto"/>
      <w:ind w:firstLine="480"/>
      <w:jc w:val="left"/>
    </w:pPr>
    <w:rPr>
      <w:rFonts w:ascii="宋体"/>
      <w:kern w:val="0"/>
      <w:sz w:val="24"/>
      <w:lang w:bidi="en-US"/>
    </w:rPr>
  </w:style>
  <w:style w:type="paragraph" w:customStyle="1" w:styleId="118">
    <w:name w:val="D表内1磅"/>
    <w:basedOn w:val="1"/>
    <w:qFormat/>
    <w:uiPriority w:val="0"/>
    <w:pPr>
      <w:spacing w:before="20" w:after="20"/>
      <w:jc w:val="center"/>
    </w:pPr>
    <w:rPr>
      <w:szCs w:val="21"/>
    </w:rPr>
  </w:style>
  <w:style w:type="paragraph" w:customStyle="1" w:styleId="119">
    <w:name w:val="样式1"/>
    <w:basedOn w:val="10"/>
    <w:qFormat/>
    <w:uiPriority w:val="0"/>
    <w:pPr>
      <w:keepNext w:val="0"/>
      <w:keepLines w:val="0"/>
      <w:adjustRightInd w:val="0"/>
      <w:snapToGrid w:val="0"/>
      <w:spacing w:line="500" w:lineRule="exact"/>
      <w:ind w:firstLine="200" w:firstLineChars="200"/>
      <w:outlineLvl w:val="9"/>
    </w:pPr>
    <w:rPr>
      <w:rFonts w:eastAsia="仿宋_GB2312"/>
      <w:bCs w:val="0"/>
      <w:kern w:val="30"/>
    </w:rPr>
  </w:style>
  <w:style w:type="paragraph" w:customStyle="1" w:styleId="120">
    <w:name w:val="标题 41"/>
    <w:basedOn w:val="1"/>
    <w:next w:val="1"/>
    <w:qFormat/>
    <w:uiPriority w:val="0"/>
    <w:pPr>
      <w:numPr>
        <w:ilvl w:val="3"/>
        <w:numId w:val="3"/>
      </w:numPr>
      <w:spacing w:before="50" w:beforeLines="50" w:after="50" w:afterLines="50" w:line="360" w:lineRule="auto"/>
      <w:outlineLvl w:val="3"/>
    </w:pPr>
    <w:rPr>
      <w:b/>
      <w:sz w:val="24"/>
    </w:rPr>
  </w:style>
  <w:style w:type="paragraph" w:customStyle="1" w:styleId="121">
    <w:name w:val="D正文"/>
    <w:basedOn w:val="122"/>
    <w:qFormat/>
    <w:uiPriority w:val="0"/>
    <w:pPr>
      <w:spacing w:line="360" w:lineRule="auto"/>
      <w:ind w:firstLine="200" w:firstLineChars="200"/>
      <w:jc w:val="both"/>
    </w:pPr>
    <w:rPr>
      <w:rFonts w:ascii="Times New Roman" w:hAnsi="Times New Roman" w:eastAsia="宋体" w:cs="Times New Roman"/>
      <w:kern w:val="0"/>
    </w:rPr>
  </w:style>
  <w:style w:type="paragraph" w:customStyle="1" w:styleId="122">
    <w:name w:val="正文对的"/>
    <w:basedOn w:val="18"/>
    <w:qFormat/>
    <w:uiPriority w:val="0"/>
    <w:pPr>
      <w:widowControl/>
      <w:ind w:firstLine="480"/>
      <w:jc w:val="left"/>
    </w:pPr>
    <w:rPr>
      <w:rFonts w:eastAsia="微软雅黑" w:cs="宋体"/>
      <w:sz w:val="24"/>
      <w:szCs w:val="24"/>
    </w:rPr>
  </w:style>
  <w:style w:type="paragraph" w:customStyle="1" w:styleId="123">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124">
    <w:name w:val="666666-表中文字"/>
    <w:basedOn w:val="1"/>
    <w:uiPriority w:val="0"/>
    <w:pPr>
      <w:jc w:val="center"/>
    </w:pPr>
  </w:style>
  <w:style w:type="paragraph" w:customStyle="1" w:styleId="125">
    <w:name w:val="Z表题注"/>
    <w:basedOn w:val="14"/>
    <w:qFormat/>
    <w:uiPriority w:val="0"/>
    <w:pPr>
      <w:keepNext/>
      <w:numPr>
        <w:ilvl w:val="0"/>
        <w:numId w:val="0"/>
      </w:numPr>
      <w:tabs>
        <w:tab w:val="clear" w:pos="0"/>
      </w:tabs>
      <w:ind w:firstLine="422"/>
    </w:pPr>
    <w:rPr>
      <w:rFonts w:ascii="Times New Roman" w:hAnsi="Times New Roman" w:cs="Times New Roman"/>
      <w:b/>
      <w:kern w:val="0"/>
      <w:szCs w:val="20"/>
    </w:rPr>
  </w:style>
  <w:style w:type="paragraph" w:customStyle="1" w:styleId="126">
    <w:name w:val="Z表格"/>
    <w:basedOn w:val="1"/>
    <w:qFormat/>
    <w:uiPriority w:val="0"/>
    <w:pPr>
      <w:widowControl/>
      <w:snapToGrid w:val="0"/>
      <w:jc w:val="center"/>
    </w:pPr>
    <w:rPr>
      <w:rFonts w:ascii="宋体"/>
      <w:kern w:val="0"/>
      <w:szCs w:val="20"/>
    </w:rPr>
  </w:style>
  <w:style w:type="paragraph" w:customStyle="1" w:styleId="127">
    <w:name w:val="xh常用表格标题"/>
    <w:basedOn w:val="1"/>
    <w:next w:val="94"/>
    <w:link w:val="128"/>
    <w:qFormat/>
    <w:uiPriority w:val="0"/>
    <w:pPr>
      <w:widowControl/>
      <w:spacing w:line="360" w:lineRule="auto"/>
      <w:jc w:val="center"/>
    </w:pPr>
    <w:rPr>
      <w:b/>
      <w:kern w:val="0"/>
      <w:sz w:val="20"/>
      <w:szCs w:val="20"/>
    </w:rPr>
  </w:style>
  <w:style w:type="character" w:customStyle="1" w:styleId="128">
    <w:name w:val="xh常用表格标题 Char"/>
    <w:link w:val="127"/>
    <w:qFormat/>
    <w:uiPriority w:val="0"/>
    <w:rPr>
      <w:b/>
    </w:rPr>
  </w:style>
  <w:style w:type="paragraph" w:customStyle="1" w:styleId="129">
    <w:name w:val="05F凡式正文"/>
    <w:basedOn w:val="1"/>
    <w:qFormat/>
    <w:uiPriority w:val="0"/>
    <w:pPr>
      <w:spacing w:line="360" w:lineRule="auto"/>
      <w:ind w:firstLine="720" w:firstLineChars="200"/>
    </w:pPr>
    <w:rPr>
      <w:kern w:val="0"/>
      <w:sz w:val="24"/>
      <w:szCs w:val="20"/>
    </w:rPr>
  </w:style>
  <w:style w:type="paragraph" w:customStyle="1" w:styleId="130">
    <w:name w:val="表格名称"/>
    <w:basedOn w:val="1"/>
    <w:uiPriority w:val="0"/>
    <w:pPr>
      <w:spacing w:line="360" w:lineRule="auto"/>
      <w:ind w:firstLine="200" w:firstLineChars="200"/>
      <w:jc w:val="left"/>
    </w:pPr>
    <w:rPr>
      <w:rFonts w:eastAsia="黑体"/>
      <w:b/>
      <w:snapToGrid w:val="0"/>
      <w:kern w:val="18"/>
      <w:sz w:val="24"/>
    </w:rPr>
  </w:style>
  <w:style w:type="character" w:customStyle="1" w:styleId="131">
    <w:name w:val="样式23 Char Char"/>
    <w:link w:val="132"/>
    <w:uiPriority w:val="0"/>
    <w:rPr>
      <w:rFonts w:ascii="宋体" w:hAnsi="宋体"/>
      <w:color w:val="000000"/>
      <w:sz w:val="24"/>
      <w:szCs w:val="24"/>
    </w:rPr>
  </w:style>
  <w:style w:type="paragraph" w:customStyle="1" w:styleId="132">
    <w:name w:val="样式23"/>
    <w:basedOn w:val="1"/>
    <w:link w:val="131"/>
    <w:qFormat/>
    <w:uiPriority w:val="0"/>
    <w:pPr>
      <w:spacing w:line="360" w:lineRule="auto"/>
      <w:ind w:firstLine="480" w:firstLineChars="200"/>
      <w:jc w:val="left"/>
    </w:pPr>
    <w:rPr>
      <w:rFonts w:ascii="宋体" w:hAnsi="宋体"/>
      <w:color w:val="000000"/>
      <w:kern w:val="0"/>
      <w:sz w:val="24"/>
    </w:rPr>
  </w:style>
  <w:style w:type="paragraph" w:customStyle="1" w:styleId="133">
    <w:name w:val="正文文本5"/>
    <w:basedOn w:val="1"/>
    <w:qFormat/>
    <w:uiPriority w:val="0"/>
    <w:pPr>
      <w:shd w:val="clear" w:color="auto" w:fill="FFFFFF"/>
      <w:spacing w:after="960" w:line="0" w:lineRule="atLeast"/>
      <w:jc w:val="center"/>
    </w:pPr>
    <w:rPr>
      <w:rFonts w:ascii="MingLiU" w:hAnsi="MingLiU" w:eastAsia="MingLiU"/>
      <w:sz w:val="19"/>
      <w:szCs w:val="19"/>
    </w:rPr>
  </w:style>
  <w:style w:type="character" w:customStyle="1" w:styleId="134">
    <w:name w:val="正文文本2"/>
    <w:qFormat/>
    <w:uiPriority w:val="0"/>
    <w:rPr>
      <w:rFonts w:ascii="MingLiU" w:hAnsi="MingLiU" w:eastAsia="MingLiU" w:cs="MingLiU"/>
      <w:color w:val="000000"/>
      <w:spacing w:val="0"/>
      <w:w w:val="100"/>
      <w:position w:val="0"/>
      <w:sz w:val="19"/>
      <w:szCs w:val="19"/>
      <w:shd w:val="clear" w:color="auto" w:fill="FFFFFF"/>
      <w:lang w:val="zh-TW"/>
    </w:rPr>
  </w:style>
  <w:style w:type="paragraph" w:customStyle="1" w:styleId="135">
    <w:name w:val="D图表"/>
    <w:basedOn w:val="1"/>
    <w:semiHidden/>
    <w:qFormat/>
    <w:uiPriority w:val="0"/>
    <w:pPr>
      <w:spacing w:before="120" w:after="120"/>
      <w:jc w:val="center"/>
    </w:pPr>
    <w:rPr>
      <w:b/>
      <w:szCs w:val="21"/>
    </w:rPr>
  </w:style>
  <w:style w:type="paragraph" w:customStyle="1" w:styleId="136">
    <w:name w:val="表"/>
    <w:basedOn w:val="1"/>
    <w:qFormat/>
    <w:uiPriority w:val="0"/>
    <w:pPr>
      <w:snapToGrid w:val="0"/>
      <w:jc w:val="center"/>
    </w:pPr>
    <w:rPr>
      <w:spacing w:val="2"/>
      <w:szCs w:val="20"/>
    </w:rPr>
  </w:style>
  <w:style w:type="character" w:customStyle="1" w:styleId="137">
    <w:name w:val="font01"/>
    <w:basedOn w:val="30"/>
    <w:qFormat/>
    <w:uiPriority w:val="0"/>
    <w:rPr>
      <w:rFonts w:hint="eastAsia" w:ascii="宋体" w:hAnsi="宋体" w:eastAsia="宋体" w:cs="宋体"/>
      <w:color w:val="000000"/>
      <w:sz w:val="21"/>
      <w:szCs w:val="21"/>
      <w:u w:val="none"/>
    </w:rPr>
  </w:style>
  <w:style w:type="paragraph" w:customStyle="1" w:styleId="138">
    <w:name w:val="标题3 Char Char Char Char"/>
    <w:basedOn w:val="1"/>
    <w:uiPriority w:val="0"/>
    <w:pPr>
      <w:spacing w:line="560" w:lineRule="exact"/>
    </w:pPr>
    <w:rPr>
      <w:rFonts w:eastAsia="黑体"/>
      <w:sz w:val="30"/>
      <w:szCs w:val="30"/>
    </w:rPr>
  </w:style>
  <w:style w:type="paragraph" w:customStyle="1" w:styleId="139">
    <w:name w:val="表格内居中文字"/>
    <w:qFormat/>
    <w:uiPriority w:val="0"/>
    <w:pPr>
      <w:jc w:val="center"/>
    </w:pPr>
    <w:rPr>
      <w:rFonts w:ascii="Times New Roman" w:hAnsi="Times New Roman" w:eastAsia="宋体" w:cs="Times New Roman"/>
      <w:kern w:val="2"/>
      <w:sz w:val="21"/>
      <w:szCs w:val="24"/>
      <w:lang w:val="en-US" w:eastAsia="zh-CN" w:bidi="ar-SA"/>
    </w:rPr>
  </w:style>
  <w:style w:type="character" w:customStyle="1" w:styleId="140">
    <w:name w:val="题注 Char"/>
    <w:link w:val="14"/>
    <w:uiPriority w:val="0"/>
    <w:rPr>
      <w:rFonts w:ascii="Arial" w:hAnsi="Arial" w:cs="Arial"/>
      <w:kern w:val="2"/>
      <w:sz w:val="24"/>
      <w:szCs w:val="24"/>
    </w:rPr>
  </w:style>
  <w:style w:type="character" w:customStyle="1" w:styleId="141">
    <w:name w:val="表内文本 Char"/>
    <w:link w:val="142"/>
    <w:uiPriority w:val="0"/>
    <w:rPr>
      <w:bCs/>
      <w:kern w:val="2"/>
      <w:sz w:val="26"/>
      <w:szCs w:val="72"/>
    </w:rPr>
  </w:style>
  <w:style w:type="paragraph" w:customStyle="1" w:styleId="142">
    <w:name w:val="表内文本"/>
    <w:basedOn w:val="1"/>
    <w:link w:val="141"/>
    <w:qFormat/>
    <w:uiPriority w:val="0"/>
    <w:pPr>
      <w:adjustRightInd w:val="0"/>
      <w:snapToGrid w:val="0"/>
      <w:spacing w:line="460" w:lineRule="atLeast"/>
      <w:ind w:firstLine="200" w:firstLineChars="200"/>
    </w:pPr>
    <w:rPr>
      <w:bCs/>
      <w:sz w:val="26"/>
      <w:szCs w:val="72"/>
    </w:rPr>
  </w:style>
  <w:style w:type="paragraph" w:customStyle="1" w:styleId="143">
    <w:name w:val="正文1"/>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2.bin"/><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7783</Words>
  <Characters>44369</Characters>
  <Lines>369</Lines>
  <Paragraphs>104</Paragraphs>
  <TotalTime>2878</TotalTime>
  <ScaleCrop>false</ScaleCrop>
  <LinksUpToDate>false</LinksUpToDate>
  <CharactersWithSpaces>52048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2022-02-10T03:23:00Z</dcterms:created>
  <dc:creator>lhj</dc:creator>
  <cp:lastModifiedBy>天上的云在飘1406346710</cp:lastModifiedBy>
  <cp:lastPrinted>2021-10-31T12:28:00Z</cp:lastPrinted>
  <dcterms:modified xsi:type="dcterms:W3CDTF">2022-07-21T05:43:18Z</dcterms:modified>
  <dc:title>附件2</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3419C0BA813D4F78B2E80191A208550B</vt:lpwstr>
  </property>
</Properties>
</file>