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  <w:t>减轻处罚事项清单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单位：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赣州市南康区城市管理局 </w:t>
      </w:r>
    </w:p>
    <w:tbl>
      <w:tblPr>
        <w:tblStyle w:val="4"/>
        <w:tblW w:w="12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700"/>
        <w:gridCol w:w="2520"/>
        <w:gridCol w:w="3180"/>
        <w:gridCol w:w="1905"/>
        <w:gridCol w:w="1365"/>
        <w:gridCol w:w="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违法行为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设定依据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适用情形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减轻处罚依据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配套监管措施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擅自占用公共场地堆放物料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《赣州市城市管理条例》第二十六条第七款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1.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初次违法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2.立即改正，并及时清理或采取其他补救措施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3.没有造成危害后果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4.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配合行政机关查处违法行为有立功表现的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《行政处罚法》第三十二条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说服教育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责令改正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警示告诫</w:t>
            </w:r>
          </w:p>
        </w:tc>
        <w:tc>
          <w:tcPr>
            <w:tcW w:w="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在尚未开工建设的土地或者其他空地上，不得有擅自倾倒、堆放建筑垃圾（含余土）等行为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《赣州市城市管理条例》第十七条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1.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初次违法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2.立即改正，并及时清理或采取其他补救措施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3.没有造成危害后果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4.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配合行政机关查处违法行为有立功表现的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《行政处罚法》第三十二条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说服教育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责令改正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警示告诫</w:t>
            </w:r>
          </w:p>
        </w:tc>
        <w:tc>
          <w:tcPr>
            <w:tcW w:w="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YWQ5ODgyODc3ZTBlYzcyZWE0MThmMDBhYzMxODMifQ=="/>
  </w:docVars>
  <w:rsids>
    <w:rsidRoot w:val="17DE20D8"/>
    <w:rsid w:val="17D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next w:val="1"/>
    <w:semiHidden/>
    <w:qFormat/>
    <w:uiPriority w:val="0"/>
    <w:pPr>
      <w:widowControl w:val="0"/>
      <w:jc w:val="both"/>
    </w:pPr>
    <w:rPr>
      <w:rFonts w:ascii="Arial" w:hAnsi="Arial" w:eastAsia="黑体" w:cs="Arial"/>
      <w:kern w:val="2"/>
      <w:sz w:val="20"/>
      <w:szCs w:val="20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2023-08-29T08:28:00Z</dcterms:created>
  <dc:creator>筱诗晶雨</dc:creator>
  <cp:lastModifiedBy>筱诗晶雨</cp:lastModifiedBy>
  <dcterms:modified xsi:type="dcterms:W3CDTF">2023-08-29T08:30:44Z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076B20E48902412A852C6A2EAFDCB7CA_11</vt:lpwstr>
  </property>
</Properties>
</file>