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从轻处罚事项清单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赣州市南康区城市管理局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tbl>
      <w:tblPr>
        <w:tblStyle w:val="5"/>
        <w:tblW w:w="12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700"/>
        <w:gridCol w:w="2520"/>
        <w:gridCol w:w="3180"/>
        <w:gridCol w:w="1905"/>
        <w:gridCol w:w="1365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从轻处罚依据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配套监管措施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在城市道路上散发广告宣传品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《赣州市城市管理条例》第三十条、第六十七条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初次违法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2.立即改正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3.没有造成危害后果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说服教育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警示告诫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排水户未取得排水许可，向城镇排水设施排放污水的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《城镇污水排入排水管网许可管理办法》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第二十七条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初次违法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2.及时改正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3.没有造成危害后果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说服教育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警示告诫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排水户未按照排水许可证的要求，向城镇排水设施排放污水的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《城镇污水排入排水管网许可管理办法》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第二十八条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初次违法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2.及时改正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3.没有造成危害后果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说服教育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警示告诫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WQ5ODgyODc3ZTBlYzcyZWE0MThmMDBhYzMxODMifQ=="/>
  </w:docVars>
  <w:rsids>
    <w:rsidRoot w:val="7E2823AD"/>
    <w:rsid w:val="7E2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semiHidden/>
    <w:qFormat/>
    <w:uiPriority w:val="0"/>
    <w:pPr>
      <w:widowControl w:val="0"/>
      <w:jc w:val="both"/>
    </w:pPr>
    <w:rPr>
      <w:rFonts w:ascii="Arial" w:hAnsi="Arial" w:eastAsia="黑体" w:cs="Arial"/>
      <w:kern w:val="2"/>
      <w:sz w:val="20"/>
      <w:szCs w:val="20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2023-08-29T08:28:00Z</dcterms:created>
  <dc:creator>筱诗晶雨</dc:creator>
  <cp:lastModifiedBy>筱诗晶雨</cp:lastModifiedBy>
  <dcterms:modified xsi:type="dcterms:W3CDTF">2023-08-29T08:29:58Z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2D258BE316284567A75212E0D8E2A5A7_11</vt:lpwstr>
  </property>
</Properties>
</file>