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</w:pPr>
      <w:bookmarkStart w:id="0" w:name="bookmark7"/>
      <w:bookmarkStart w:id="1" w:name="bookmark8"/>
      <w:bookmarkStart w:id="2" w:name="bookmark9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南康区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</w:rPr>
        <w:t>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中央集中彩票公益金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绩效自评报告</w:t>
      </w:r>
      <w:bookmarkEnd w:id="0"/>
      <w:bookmarkEnd w:id="1"/>
      <w:bookmarkEnd w:id="2"/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3" w:name="bookmark1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市民政局：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根据《江西省财政厅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江西省民政厅关于印发&lt;江西省彩票公益金支持社会福利事业资金使用管理暂行办法&gt;的通知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》（赣财社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[2020]19号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）要求，我局高度重视，组织力量对全县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2021年中央集中彩票公益金开展绩效自评工作，现将有关情况汇报如下：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、绩效目标分解下达情况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（一）中央集中彩票公益金下达情况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《省财政厅、省民政厅关于下达2021年中央集中彩票公益金支持社会福利事业专项资金的通知》（赣财社指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val="en-US" w:eastAsia="zh-CN"/>
        </w:rPr>
        <w:t>30号）文件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，2021年下达我区中央集中彩票公益金项目1个，为孤儿助学工程项目，资金40.2万元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（二）绩效目标情况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儿童福利类。开展“孤儿助学工程”，按照每人每年1万元标准，对全区年满18周岁后考取普通全日制中专、大专及以上学校的孤儿开展助学。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黑体" w:cs="Times New Roman"/>
          <w:color w:val="FF0000"/>
          <w:sz w:val="32"/>
          <w:szCs w:val="32"/>
          <w:lang w:eastAsia="zh-CN"/>
        </w:rPr>
      </w:pPr>
      <w:bookmarkStart w:id="4" w:name="bookmark11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、绩效目标完成情况分析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74"/>
        </w:tabs>
        <w:bidi w:val="0"/>
        <w:spacing w:before="0" w:after="0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</w:pPr>
      <w:bookmarkStart w:id="5" w:name="bookmark12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一）资金投入情况分析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7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1.资金执行情况。资金到位情况、截止2021年3月10日资金实际支出31.7万元，执行率78.8%，资金结余8.5万元。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7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2.资金管理情况。制度建设、日常监管、监督检查情况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auto"/>
          <w:lang w:val="en-US" w:eastAsia="zh-CN"/>
        </w:rPr>
        <w:t>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57"/>
        </w:tabs>
        <w:bidi w:val="0"/>
        <w:spacing w:before="0" w:after="0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</w:pPr>
      <w:bookmarkStart w:id="6" w:name="bookmark13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二）总体绩效目标完成情况分析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儿童福利类。根据年初设定的目标，经过调查摸底和申报审批，全区共23名符合条件的孤儿纳入助学资助范围。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</w:pPr>
      <w:bookmarkStart w:id="7" w:name="bookmark14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7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三）绩效指标完成情况分析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1.项目资金指标。中央彩票公益金下达40.2万元，支出31.7万元，执行率78.8%，结余8.5万元。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2.数量指标。符合就读大学、硕士、中等职业学校条件的年满18岁周岁孤儿享受补助比例为100%；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3.质量指标。符合条件的孤儿纳入助学工程资助金发放率为100%；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4.成本指标。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5.时效指标。资金下达后在一个月内下达，并有序发放。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6.可持续影响指标。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7.服务对象满意度指标。受资助对象对项目的满意度达到95%以上。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8" w:name="bookmark15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三</w:t>
      </w:r>
      <w:bookmarkEnd w:id="8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、偏离绩效目标的原因和下一步改进措施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9" w:name="bookmark16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四</w:t>
      </w:r>
      <w:bookmarkEnd w:id="9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、绩效自评结果拟应用和公开情况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自评结果对今后开展此类工作具有借鉴参考意义，推动工作更加规范、高效运行。自评结果根据上级和财政部门要求做好公开。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0"/>
        </w:tabs>
        <w:bidi w:val="0"/>
        <w:spacing w:before="0" w:after="0"/>
        <w:ind w:left="0" w:righ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10" w:name="bookmark17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五</w:t>
      </w:r>
      <w:bookmarkEnd w:id="10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、其他需要说明的问题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无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2240" w:firstLineChars="70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11" w:name="_GoBack"/>
      <w:bookmarkEnd w:id="11"/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赣州市南康区民政局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2022年3月10日</w:t>
      </w:r>
    </w:p>
    <w:p>
      <w:pPr>
        <w:widowControl w:val="0"/>
        <w:spacing w:line="1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notePr>
        <w:numFmt w:val="decimal"/>
      </w:footnotePr>
      <w:pgSz w:w="11900" w:h="16840"/>
      <w:pgMar w:top="2670" w:right="2019" w:bottom="2008" w:left="197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80B72C9"/>
    <w:rsid w:val="08C14DBF"/>
    <w:rsid w:val="0A1E5D2B"/>
    <w:rsid w:val="0AB157D3"/>
    <w:rsid w:val="0AEF49F4"/>
    <w:rsid w:val="0DBA6AF2"/>
    <w:rsid w:val="11C84637"/>
    <w:rsid w:val="132178E5"/>
    <w:rsid w:val="16A753FE"/>
    <w:rsid w:val="173F12A8"/>
    <w:rsid w:val="1B7A1CB5"/>
    <w:rsid w:val="1DC076BB"/>
    <w:rsid w:val="1DD64BC6"/>
    <w:rsid w:val="1F894E9A"/>
    <w:rsid w:val="249E0DCD"/>
    <w:rsid w:val="251C232F"/>
    <w:rsid w:val="27537A20"/>
    <w:rsid w:val="31E44CC1"/>
    <w:rsid w:val="32417659"/>
    <w:rsid w:val="33F43281"/>
    <w:rsid w:val="35C744DB"/>
    <w:rsid w:val="35DE665F"/>
    <w:rsid w:val="4F910E74"/>
    <w:rsid w:val="52592A9D"/>
    <w:rsid w:val="5318443C"/>
    <w:rsid w:val="53DC620F"/>
    <w:rsid w:val="55D5015D"/>
    <w:rsid w:val="59782EF7"/>
    <w:rsid w:val="59936E4E"/>
    <w:rsid w:val="60743F0B"/>
    <w:rsid w:val="60C16F3B"/>
    <w:rsid w:val="6233376F"/>
    <w:rsid w:val="636977D7"/>
    <w:rsid w:val="6BBB467B"/>
    <w:rsid w:val="6C343963"/>
    <w:rsid w:val="6F595DC5"/>
    <w:rsid w:val="6FAF6B28"/>
    <w:rsid w:val="70A90134"/>
    <w:rsid w:val="746B4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2|1_"/>
    <w:basedOn w:val="3"/>
    <w:link w:val="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link w:val="4"/>
    <w:qFormat/>
    <w:uiPriority w:val="0"/>
    <w:pPr>
      <w:widowControl w:val="0"/>
      <w:shd w:val="clear" w:color="auto" w:fill="auto"/>
      <w:spacing w:after="30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  <w:ind w:firstLine="22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259" w:lineRule="auto"/>
      <w:ind w:firstLine="30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3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3"/>
    <w:link w:val="17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line="580" w:lineRule="exact"/>
      <w:ind w:left="240" w:firstLine="68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3"/>
    <w:link w:val="19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sl</dc:creator>
  <cp:lastModifiedBy>岁岁祯祥</cp:lastModifiedBy>
  <dcterms:modified xsi:type="dcterms:W3CDTF">2022-03-10T03:00:33Z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85F8786B11784132809D4F8942E31135</vt:lpwstr>
  </property>
</Properties>
</file>