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赤土畲族乡</w:t>
      </w:r>
      <w:r>
        <w:rPr>
          <w:rFonts w:hint="eastAsia" w:ascii="方正小标宋简体" w:hAnsi="方正小标宋简体" w:eastAsia="方正小标宋简体" w:cs="方正小标宋简体"/>
          <w:b w:val="0"/>
          <w:bCs w:val="0"/>
          <w:color w:val="auto"/>
          <w:sz w:val="44"/>
          <w:szCs w:val="44"/>
          <w:lang w:val="en-US" w:eastAsia="zh-CN"/>
        </w:rPr>
        <w:t>2022年</w:t>
      </w:r>
      <w:r>
        <w:rPr>
          <w:rFonts w:hint="eastAsia" w:ascii="方正小标宋简体" w:hAnsi="方正小标宋简体" w:eastAsia="方正小标宋简体" w:cs="方正小标宋简体"/>
          <w:b w:val="0"/>
          <w:bCs w:val="0"/>
          <w:color w:val="auto"/>
          <w:sz w:val="44"/>
          <w:szCs w:val="44"/>
          <w:lang w:eastAsia="zh-CN"/>
        </w:rPr>
        <w:t>法治政府建设工作总结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4" w:lineRule="exact"/>
        <w:ind w:left="0"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以来，在区委、区政府的</w:t>
      </w:r>
      <w:r>
        <w:rPr>
          <w:rFonts w:hint="eastAsia" w:ascii="仿宋_GB2312" w:hAnsi="仿宋_GB2312" w:eastAsia="仿宋_GB2312" w:cs="仿宋_GB2312"/>
          <w:color w:val="auto"/>
          <w:sz w:val="32"/>
          <w:szCs w:val="32"/>
          <w:lang w:eastAsia="zh-CN"/>
        </w:rPr>
        <w:t>正确</w:t>
      </w:r>
      <w:r>
        <w:rPr>
          <w:rFonts w:hint="eastAsia" w:ascii="仿宋_GB2312" w:hAnsi="仿宋_GB2312" w:eastAsia="仿宋_GB2312" w:cs="仿宋_GB2312"/>
          <w:color w:val="auto"/>
          <w:sz w:val="32"/>
          <w:szCs w:val="32"/>
        </w:rPr>
        <w:t>领导下，我</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以习近平新时代中国特色社会主义思想为指导，</w:t>
      </w:r>
      <w:r>
        <w:rPr>
          <w:rFonts w:hint="eastAsia" w:ascii="仿宋_GB2312" w:hAnsi="仿宋_GB2312" w:eastAsia="仿宋_GB2312" w:cs="仿宋_GB2312"/>
          <w:color w:val="auto"/>
          <w:sz w:val="32"/>
          <w:szCs w:val="32"/>
          <w:lang w:eastAsia="zh-CN"/>
        </w:rPr>
        <w:t>全面</w:t>
      </w:r>
      <w:r>
        <w:rPr>
          <w:rFonts w:hint="eastAsia" w:ascii="仿宋_GB2312" w:hAnsi="仿宋_GB2312" w:eastAsia="仿宋_GB2312" w:cs="仿宋_GB2312"/>
          <w:color w:val="000000"/>
          <w:spacing w:val="-4"/>
          <w:sz w:val="32"/>
          <w:szCs w:val="32"/>
        </w:rPr>
        <w:t>贯彻落实党的二十大精神</w:t>
      </w:r>
      <w:r>
        <w:rPr>
          <w:rFonts w:hint="eastAsia" w:ascii="仿宋_GB2312" w:hAnsi="仿宋_GB2312" w:eastAsia="仿宋_GB2312" w:cs="仿宋_GB2312"/>
          <w:color w:val="000000"/>
          <w:spacing w:val="-4"/>
          <w:sz w:val="32"/>
          <w:szCs w:val="32"/>
          <w:lang w:eastAsia="zh-CN"/>
        </w:rPr>
        <w:t>和</w:t>
      </w:r>
      <w:r>
        <w:rPr>
          <w:rFonts w:hint="eastAsia" w:ascii="仿宋_GB2312" w:hAnsi="仿宋_GB2312" w:eastAsia="仿宋_GB2312" w:cs="仿宋_GB2312"/>
          <w:color w:val="000000"/>
          <w:spacing w:val="-4"/>
          <w:sz w:val="32"/>
          <w:szCs w:val="32"/>
          <w:lang w:val="en-US" w:eastAsia="zh-CN"/>
        </w:rPr>
        <w:t>习近平总书记视察江西和赣州重要讲话精神，大力</w:t>
      </w:r>
      <w:r>
        <w:rPr>
          <w:rFonts w:hint="eastAsia" w:ascii="仿宋_GB2312" w:hAnsi="仿宋_GB2312" w:eastAsia="仿宋_GB2312" w:cs="仿宋_GB2312"/>
          <w:color w:val="000000"/>
          <w:spacing w:val="-4"/>
          <w:sz w:val="32"/>
          <w:szCs w:val="32"/>
        </w:rPr>
        <w:t>弘扬伟大建党精神，</w:t>
      </w:r>
      <w:r>
        <w:rPr>
          <w:rFonts w:hint="eastAsia" w:ascii="仿宋_GB2312" w:hAnsi="仿宋_GB2312" w:eastAsia="仿宋_GB2312" w:cs="仿宋_GB2312"/>
          <w:color w:val="000000"/>
          <w:spacing w:val="-4"/>
          <w:sz w:val="32"/>
          <w:szCs w:val="32"/>
          <w:lang w:val="en-US" w:eastAsia="zh-CN"/>
        </w:rPr>
        <w:t>按照省、市、区党代会决策部署，</w:t>
      </w:r>
      <w:r>
        <w:rPr>
          <w:rFonts w:hint="eastAsia" w:ascii="仿宋_GB2312" w:hAnsi="仿宋_GB2312" w:eastAsia="仿宋_GB2312" w:cs="仿宋_GB2312"/>
          <w:color w:val="000000"/>
          <w:spacing w:val="-4"/>
          <w:sz w:val="32"/>
          <w:szCs w:val="32"/>
        </w:rPr>
        <w:t>坚持稳中求进工作总基调，</w:t>
      </w:r>
      <w:r>
        <w:rPr>
          <w:rFonts w:hint="eastAsia" w:ascii="仿宋_GB2312" w:hAnsi="仿宋_GB2312" w:eastAsia="仿宋_GB2312" w:cs="仿宋_GB2312"/>
          <w:color w:val="auto"/>
          <w:sz w:val="32"/>
          <w:szCs w:val="32"/>
          <w:lang w:val="en-US" w:eastAsia="zh-CN"/>
        </w:rPr>
        <w:t>持续深入</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lang w:val="en-US" w:eastAsia="zh-CN"/>
        </w:rPr>
        <w:t>《赣州市南康区2022年法治政府工作要点》</w:t>
      </w:r>
      <w:r>
        <w:rPr>
          <w:rFonts w:hint="eastAsia" w:ascii="仿宋_GB2312" w:hAnsi="仿宋_GB2312" w:eastAsia="仿宋_GB2312" w:cs="仿宋_GB2312"/>
          <w:color w:val="auto"/>
          <w:sz w:val="32"/>
          <w:szCs w:val="32"/>
          <w:lang w:eastAsia="zh-CN"/>
        </w:rPr>
        <w:t>的要求，</w:t>
      </w:r>
      <w:r>
        <w:rPr>
          <w:rFonts w:hint="eastAsia" w:ascii="仿宋_GB2312" w:hAnsi="仿宋_GB2312" w:eastAsia="仿宋_GB2312" w:cs="仿宋_GB2312"/>
          <w:color w:val="000000"/>
          <w:spacing w:val="-4"/>
          <w:sz w:val="32"/>
          <w:szCs w:val="32"/>
        </w:rPr>
        <w:t>完整、准确、全面贯彻新发展理念，加快构建新发展格局，全面深化改革开放，</w:t>
      </w:r>
      <w:r>
        <w:rPr>
          <w:rFonts w:hint="eastAsia" w:ascii="仿宋_GB2312" w:hAnsi="仿宋_GB2312" w:eastAsia="仿宋_GB2312" w:cs="仿宋_GB2312"/>
          <w:color w:val="000000"/>
          <w:spacing w:val="-4"/>
          <w:sz w:val="32"/>
          <w:szCs w:val="32"/>
          <w:lang w:eastAsia="zh-CN"/>
        </w:rPr>
        <w:t>全</w:t>
      </w:r>
      <w:r>
        <w:rPr>
          <w:rFonts w:hint="eastAsia" w:ascii="仿宋_GB2312" w:hAnsi="仿宋_GB2312" w:eastAsia="仿宋_GB2312" w:cs="仿宋_GB2312"/>
          <w:color w:val="auto"/>
          <w:sz w:val="32"/>
          <w:szCs w:val="32"/>
          <w:lang w:eastAsia="zh-CN"/>
        </w:rPr>
        <w:t>面建设法治政府，</w:t>
      </w:r>
      <w:r>
        <w:rPr>
          <w:rFonts w:hint="eastAsia" w:ascii="仿宋_GB2312" w:hAnsi="仿宋_GB2312" w:eastAsia="仿宋_GB2312" w:cs="仿宋_GB2312"/>
          <w:color w:val="000000"/>
          <w:spacing w:val="-4"/>
          <w:sz w:val="32"/>
          <w:szCs w:val="32"/>
        </w:rPr>
        <w:t>坚持创新驱动发展，</w:t>
      </w:r>
      <w:r>
        <w:rPr>
          <w:rFonts w:hint="eastAsia" w:ascii="仿宋_GB2312" w:hAnsi="仿宋_GB2312" w:eastAsia="仿宋_GB2312" w:cs="仿宋_GB2312"/>
          <w:color w:val="auto"/>
          <w:sz w:val="32"/>
          <w:szCs w:val="32"/>
          <w:lang w:eastAsia="zh-CN"/>
        </w:rPr>
        <w:t>为我乡高质量发展提供坚强的法治保障，</w:t>
      </w:r>
      <w:r>
        <w:rPr>
          <w:rFonts w:hint="eastAsia" w:ascii="仿宋_GB2312" w:hAnsi="仿宋_GB2312" w:eastAsia="仿宋_GB2312" w:cs="仿宋_GB2312"/>
          <w:color w:val="auto"/>
          <w:sz w:val="32"/>
          <w:szCs w:val="32"/>
        </w:rPr>
        <w:t>现将相关工作情况汇报如下：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800" w:leftChars="0" w:firstLine="0" w:firstLineChars="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工作举措及成效</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64" w:lineRule="exact"/>
        <w:ind w:left="960" w:leftChars="0" w:right="0" w:firstLine="0" w:firstLineChars="0"/>
        <w:jc w:val="lef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践行习近平法治思想，健全完善法治政府建设纵深推进工作机制</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28"/>
        <w:jc w:val="both"/>
        <w:rPr>
          <w:rFonts w:ascii="仿宋" w:hAnsi="仿宋" w:eastAsia="仿宋" w:cs="仿宋"/>
          <w:sz w:val="32"/>
          <w:szCs w:val="32"/>
        </w:rPr>
      </w:pPr>
      <w:r>
        <w:rPr>
          <w:rFonts w:hint="eastAsia" w:ascii="黑体" w:hAnsi="黑体" w:eastAsia="黑体" w:cs="黑体"/>
          <w:b w:val="0"/>
          <w:bCs w:val="0"/>
          <w:color w:val="auto"/>
          <w:sz w:val="32"/>
          <w:szCs w:val="32"/>
          <w:lang w:val="en-US" w:eastAsia="zh-CN"/>
        </w:rPr>
        <w:t>一是全面领导法治政府建设。</w:t>
      </w:r>
      <w:r>
        <w:rPr>
          <w:rFonts w:hint="eastAsia" w:ascii="仿宋" w:hAnsi="仿宋" w:eastAsia="仿宋" w:cs="仿宋"/>
          <w:sz w:val="32"/>
          <w:szCs w:val="32"/>
          <w:lang w:eastAsia="zh-CN"/>
        </w:rPr>
        <w:t>乡党委</w:t>
      </w:r>
      <w:r>
        <w:rPr>
          <w:rFonts w:hint="eastAsia" w:ascii="仿宋" w:hAnsi="仿宋" w:eastAsia="仿宋" w:cs="仿宋"/>
          <w:sz w:val="32"/>
          <w:szCs w:val="32"/>
        </w:rPr>
        <w:t>把握法治政府建设是重点任务和主体工程的重要定位，完善各部门学习习近平</w:t>
      </w:r>
      <w:r>
        <w:rPr>
          <w:rFonts w:hint="eastAsia" w:ascii="仿宋" w:hAnsi="仿宋" w:eastAsia="仿宋" w:cs="仿宋"/>
          <w:sz w:val="32"/>
          <w:szCs w:val="32"/>
          <w:lang w:eastAsia="zh-CN"/>
        </w:rPr>
        <w:t>法治</w:t>
      </w:r>
      <w:r>
        <w:rPr>
          <w:rFonts w:hint="eastAsia" w:ascii="仿宋" w:hAnsi="仿宋" w:eastAsia="仿宋" w:cs="仿宋"/>
          <w:sz w:val="32"/>
          <w:szCs w:val="32"/>
        </w:rPr>
        <w:t>思想常态化</w:t>
      </w:r>
      <w:r>
        <w:rPr>
          <w:rFonts w:hint="eastAsia" w:ascii="仿宋" w:hAnsi="仿宋" w:eastAsia="仿宋" w:cs="仿宋"/>
          <w:sz w:val="32"/>
          <w:szCs w:val="32"/>
          <w:lang w:eastAsia="zh-CN"/>
        </w:rPr>
        <w:t>的</w:t>
      </w:r>
      <w:r>
        <w:rPr>
          <w:rFonts w:hint="eastAsia" w:ascii="仿宋" w:hAnsi="仿宋" w:eastAsia="仿宋" w:cs="仿宋"/>
          <w:sz w:val="32"/>
          <w:szCs w:val="32"/>
        </w:rPr>
        <w:t>机制，以率先突破带动整体提升</w:t>
      </w:r>
      <w:r>
        <w:rPr>
          <w:rFonts w:hint="eastAsia" w:ascii="仿宋" w:hAnsi="仿宋" w:eastAsia="仿宋" w:cs="仿宋"/>
          <w:sz w:val="32"/>
          <w:szCs w:val="32"/>
          <w:lang w:eastAsia="zh-CN"/>
        </w:rPr>
        <w:t>，</w:t>
      </w:r>
      <w:r>
        <w:rPr>
          <w:rFonts w:hint="eastAsia" w:ascii="仿宋" w:hAnsi="仿宋" w:eastAsia="仿宋" w:cs="仿宋"/>
          <w:sz w:val="32"/>
          <w:szCs w:val="32"/>
        </w:rPr>
        <w:t>不断增强各级领导干部法治意识</w:t>
      </w:r>
      <w:r>
        <w:rPr>
          <w:rFonts w:hint="eastAsia" w:ascii="仿宋" w:hAnsi="仿宋" w:eastAsia="仿宋" w:cs="仿宋"/>
          <w:sz w:val="32"/>
          <w:szCs w:val="32"/>
          <w:lang w:eastAsia="zh-CN"/>
        </w:rPr>
        <w:t>。</w:t>
      </w:r>
      <w:r>
        <w:rPr>
          <w:rFonts w:ascii="仿宋" w:hAnsi="仿宋" w:eastAsia="仿宋" w:cs="仿宋"/>
          <w:sz w:val="32"/>
          <w:szCs w:val="32"/>
        </w:rPr>
        <w:t>履行推进法治建设领导职责，</w:t>
      </w:r>
      <w:r>
        <w:rPr>
          <w:rFonts w:hint="eastAsia" w:ascii="仿宋" w:hAnsi="仿宋" w:eastAsia="仿宋" w:cs="仿宋"/>
          <w:sz w:val="32"/>
          <w:szCs w:val="32"/>
        </w:rPr>
        <w:t>全面提升运用法治思维和法治方式深化改革</w:t>
      </w:r>
      <w:r>
        <w:rPr>
          <w:rFonts w:hint="eastAsia" w:ascii="仿宋" w:hAnsi="仿宋" w:eastAsia="仿宋" w:cs="仿宋"/>
          <w:sz w:val="32"/>
          <w:szCs w:val="32"/>
          <w:lang w:eastAsia="zh-CN"/>
        </w:rPr>
        <w:t>、</w:t>
      </w:r>
      <w:r>
        <w:rPr>
          <w:rFonts w:hint="eastAsia" w:ascii="仿宋" w:hAnsi="仿宋" w:eastAsia="仿宋" w:cs="仿宋"/>
          <w:sz w:val="32"/>
          <w:szCs w:val="32"/>
        </w:rPr>
        <w:t>推动发展</w:t>
      </w:r>
      <w:r>
        <w:rPr>
          <w:rFonts w:hint="eastAsia" w:ascii="仿宋" w:hAnsi="仿宋" w:eastAsia="仿宋" w:cs="仿宋"/>
          <w:sz w:val="32"/>
          <w:szCs w:val="32"/>
          <w:lang w:eastAsia="zh-CN"/>
        </w:rPr>
        <w:t>、</w:t>
      </w:r>
      <w:r>
        <w:rPr>
          <w:rFonts w:hint="eastAsia" w:ascii="仿宋" w:hAnsi="仿宋" w:eastAsia="仿宋" w:cs="仿宋"/>
          <w:sz w:val="32"/>
          <w:szCs w:val="32"/>
        </w:rPr>
        <w:t>化解矛盾</w:t>
      </w:r>
      <w:r>
        <w:rPr>
          <w:rFonts w:hint="eastAsia" w:ascii="仿宋" w:hAnsi="仿宋" w:eastAsia="仿宋" w:cs="仿宋"/>
          <w:sz w:val="32"/>
          <w:szCs w:val="32"/>
          <w:lang w:eastAsia="zh-CN"/>
        </w:rPr>
        <w:t>、</w:t>
      </w:r>
      <w:r>
        <w:rPr>
          <w:rFonts w:hint="eastAsia" w:ascii="仿宋" w:hAnsi="仿宋" w:eastAsia="仿宋" w:cs="仿宋"/>
          <w:sz w:val="32"/>
          <w:szCs w:val="32"/>
        </w:rPr>
        <w:t>维护稳定</w:t>
      </w:r>
      <w:r>
        <w:rPr>
          <w:rFonts w:hint="eastAsia" w:ascii="仿宋" w:hAnsi="仿宋" w:eastAsia="仿宋" w:cs="仿宋"/>
          <w:sz w:val="32"/>
          <w:szCs w:val="32"/>
          <w:lang w:eastAsia="zh-CN"/>
        </w:rPr>
        <w:t>、</w:t>
      </w:r>
      <w:r>
        <w:rPr>
          <w:rFonts w:hint="eastAsia" w:ascii="仿宋" w:hAnsi="仿宋" w:eastAsia="仿宋" w:cs="仿宋"/>
          <w:sz w:val="32"/>
          <w:szCs w:val="32"/>
        </w:rPr>
        <w:t>应对风险的能力</w:t>
      </w:r>
      <w:r>
        <w:rPr>
          <w:rFonts w:hint="eastAsia" w:ascii="仿宋" w:hAnsi="仿宋" w:eastAsia="仿宋" w:cs="仿宋"/>
          <w:sz w:val="32"/>
          <w:szCs w:val="32"/>
          <w:lang w:eastAsia="zh-CN"/>
        </w:rPr>
        <w:t>，</w:t>
      </w:r>
      <w:r>
        <w:rPr>
          <w:rFonts w:ascii="仿宋" w:hAnsi="仿宋" w:eastAsia="仿宋" w:cs="仿宋"/>
          <w:sz w:val="32"/>
          <w:szCs w:val="32"/>
        </w:rPr>
        <w:t>及时</w:t>
      </w:r>
      <w:r>
        <w:rPr>
          <w:rFonts w:hint="eastAsia" w:ascii="仿宋" w:hAnsi="仿宋" w:eastAsia="仿宋" w:cs="仿宋"/>
          <w:sz w:val="32"/>
          <w:szCs w:val="32"/>
          <w:lang w:eastAsia="zh-CN"/>
        </w:rPr>
        <w:t>研讨</w:t>
      </w:r>
      <w:r>
        <w:rPr>
          <w:rFonts w:ascii="仿宋" w:hAnsi="仿宋" w:eastAsia="仿宋" w:cs="仿宋"/>
          <w:sz w:val="32"/>
          <w:szCs w:val="32"/>
        </w:rPr>
        <w:t>影响法治政府建设的重大问题。</w:t>
      </w:r>
    </w:p>
    <w:p>
      <w:pPr>
        <w:pStyle w:val="2"/>
        <w:keepNext w:val="0"/>
        <w:keepLines w:val="0"/>
        <w:widowControl/>
        <w:suppressLineNumbers w:val="0"/>
        <w:spacing w:before="0" w:beforeAutospacing="0" w:after="0" w:afterAutospacing="0"/>
        <w:ind w:left="0" w:right="0" w:firstLine="628"/>
        <w:jc w:val="both"/>
        <w:rPr>
          <w:rFonts w:hint="eastAsia" w:ascii="仿宋" w:hAnsi="仿宋" w:eastAsia="仿宋" w:cs="仿宋"/>
          <w:sz w:val="32"/>
          <w:szCs w:val="32"/>
          <w:lang w:val="en-US" w:eastAsia="zh-CN"/>
        </w:rPr>
      </w:pPr>
      <w:r>
        <w:rPr>
          <w:rFonts w:hint="eastAsia" w:ascii="黑体" w:hAnsi="黑体" w:eastAsia="黑体" w:cs="黑体"/>
          <w:b w:val="0"/>
          <w:bCs w:val="0"/>
          <w:color w:val="auto"/>
          <w:kern w:val="0"/>
          <w:sz w:val="32"/>
          <w:szCs w:val="32"/>
          <w:lang w:val="en-US" w:eastAsia="zh-CN" w:bidi="ar"/>
        </w:rPr>
        <w:t>二是加强依法行政能力建设。</w:t>
      </w:r>
      <w:r>
        <w:rPr>
          <w:rStyle w:val="19"/>
          <w:rFonts w:hint="eastAsia" w:ascii="仿宋" w:hAnsi="仿宋" w:eastAsia="仿宋" w:cs="仿宋"/>
          <w:sz w:val="32"/>
          <w:szCs w:val="32"/>
          <w:lang w:val="en-US" w:eastAsia="zh-CN"/>
        </w:rPr>
        <w:t>对标落实法治政府建设实施纲要，</w:t>
      </w:r>
      <w:r>
        <w:rPr>
          <w:rStyle w:val="19"/>
          <w:rFonts w:ascii="仿宋" w:hAnsi="仿宋" w:eastAsia="仿宋" w:cs="仿宋"/>
          <w:sz w:val="32"/>
          <w:szCs w:val="32"/>
        </w:rPr>
        <w:t>健全领导干部学法用法机制</w:t>
      </w:r>
      <w:r>
        <w:rPr>
          <w:rStyle w:val="19"/>
          <w:rFonts w:hint="eastAsia" w:ascii="仿宋" w:hAnsi="仿宋" w:eastAsia="仿宋" w:cs="仿宋"/>
          <w:sz w:val="32"/>
          <w:szCs w:val="32"/>
          <w:lang w:eastAsia="zh-CN"/>
        </w:rPr>
        <w:t>，</w:t>
      </w:r>
      <w:r>
        <w:rPr>
          <w:rFonts w:ascii="仿宋_GB2312" w:hAnsi="宋体" w:eastAsia="仿宋_GB2312" w:cs="仿宋_GB2312"/>
          <w:spacing w:val="-2"/>
          <w:kern w:val="2"/>
          <w:sz w:val="32"/>
          <w:szCs w:val="32"/>
          <w:lang w:val="en-US" w:eastAsia="zh-CN" w:bidi="ar"/>
        </w:rPr>
        <w:t>坚持把法治理念、法治思维、法治方式贯穿政府履职全过程，全面提升依法行政能力和水平</w:t>
      </w:r>
      <w:r>
        <w:rPr>
          <w:rFonts w:hint="eastAsia" w:ascii="仿宋_GB2312" w:hAnsi="宋体" w:eastAsia="仿宋_GB2312" w:cs="仿宋_GB2312"/>
          <w:spacing w:val="-2"/>
          <w:kern w:val="2"/>
          <w:sz w:val="32"/>
          <w:szCs w:val="32"/>
          <w:lang w:val="en-US" w:eastAsia="zh-CN" w:bidi="ar"/>
        </w:rPr>
        <w:t>，</w:t>
      </w:r>
      <w:r>
        <w:rPr>
          <w:rStyle w:val="19"/>
          <w:rFonts w:ascii="仿宋" w:hAnsi="仿宋" w:eastAsia="仿宋" w:cs="仿宋"/>
          <w:sz w:val="32"/>
          <w:szCs w:val="32"/>
        </w:rPr>
        <w:t>加强政府法治队伍建设</w:t>
      </w:r>
      <w:r>
        <w:rPr>
          <w:rStyle w:val="19"/>
          <w:rFonts w:hint="eastAsia" w:ascii="仿宋" w:hAnsi="仿宋" w:eastAsia="仿宋" w:cs="仿宋"/>
          <w:sz w:val="32"/>
          <w:szCs w:val="32"/>
          <w:lang w:eastAsia="zh-CN"/>
        </w:rPr>
        <w:t>。乡</w:t>
      </w:r>
      <w:r>
        <w:rPr>
          <w:rStyle w:val="19"/>
          <w:rFonts w:ascii="仿宋" w:hAnsi="仿宋" w:eastAsia="仿宋" w:cs="仿宋"/>
          <w:sz w:val="32"/>
          <w:szCs w:val="32"/>
        </w:rPr>
        <w:t>领导班子</w:t>
      </w:r>
      <w:r>
        <w:rPr>
          <w:rStyle w:val="19"/>
          <w:rFonts w:hint="eastAsia" w:ascii="仿宋" w:hAnsi="仿宋" w:eastAsia="仿宋" w:cs="仿宋"/>
          <w:sz w:val="32"/>
          <w:szCs w:val="32"/>
          <w:lang w:eastAsia="zh-CN"/>
        </w:rPr>
        <w:t>每年</w:t>
      </w:r>
      <w:r>
        <w:rPr>
          <w:rStyle w:val="19"/>
          <w:rFonts w:ascii="仿宋" w:hAnsi="仿宋" w:eastAsia="仿宋" w:cs="仿宋"/>
          <w:sz w:val="32"/>
          <w:szCs w:val="32"/>
        </w:rPr>
        <w:t>举办</w:t>
      </w:r>
      <w:r>
        <w:rPr>
          <w:rStyle w:val="19"/>
          <w:rFonts w:hint="eastAsia" w:ascii="仿宋" w:hAnsi="仿宋" w:eastAsia="仿宋" w:cs="仿宋"/>
          <w:sz w:val="32"/>
          <w:szCs w:val="32"/>
          <w:lang w:val="en-US" w:eastAsia="zh-CN"/>
        </w:rPr>
        <w:t>2次</w:t>
      </w:r>
      <w:r>
        <w:rPr>
          <w:rStyle w:val="19"/>
          <w:rFonts w:ascii="仿宋" w:hAnsi="仿宋" w:eastAsia="仿宋" w:cs="仿宋"/>
          <w:sz w:val="32"/>
          <w:szCs w:val="32"/>
        </w:rPr>
        <w:t>法治专题讲座，行政执法部门负责人、执法人员和法制审核人员接受</w:t>
      </w:r>
      <w:r>
        <w:rPr>
          <w:rStyle w:val="19"/>
          <w:rFonts w:hint="eastAsia" w:ascii="仿宋" w:hAnsi="仿宋" w:eastAsia="仿宋" w:cs="仿宋"/>
          <w:sz w:val="32"/>
          <w:szCs w:val="32"/>
          <w:lang w:eastAsia="zh-CN"/>
        </w:rPr>
        <w:t>相应</w:t>
      </w:r>
      <w:r>
        <w:rPr>
          <w:rStyle w:val="19"/>
          <w:rFonts w:ascii="仿宋" w:hAnsi="仿宋" w:eastAsia="仿宋" w:cs="仿宋"/>
          <w:sz w:val="32"/>
          <w:szCs w:val="32"/>
        </w:rPr>
        <w:t>法治业务培训</w:t>
      </w:r>
      <w:r>
        <w:rPr>
          <w:rStyle w:val="19"/>
          <w:rFonts w:hint="eastAsia" w:ascii="仿宋" w:hAnsi="仿宋" w:eastAsia="仿宋" w:cs="仿宋"/>
          <w:sz w:val="32"/>
          <w:szCs w:val="32"/>
          <w:lang w:val="en-US" w:eastAsia="zh-CN"/>
        </w:rPr>
        <w:t>.</w:t>
      </w:r>
    </w:p>
    <w:p>
      <w:pPr>
        <w:pStyle w:val="2"/>
        <w:keepNext w:val="0"/>
        <w:keepLines w:val="0"/>
        <w:widowControl/>
        <w:suppressLineNumbers w:val="0"/>
        <w:spacing w:before="0" w:beforeAutospacing="0" w:after="0" w:afterAutospacing="0"/>
        <w:ind w:left="0" w:right="0" w:firstLine="628"/>
        <w:jc w:val="both"/>
        <w:rPr>
          <w:rFonts w:ascii="仿宋" w:hAnsi="仿宋" w:eastAsia="仿宋" w:cs="仿宋"/>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三是强化行政执法监督。</w:t>
      </w:r>
      <w:r>
        <w:rPr>
          <w:rFonts w:hint="eastAsia" w:ascii="仿宋" w:hAnsi="仿宋" w:eastAsia="仿宋" w:cs="仿宋"/>
          <w:kern w:val="0"/>
          <w:sz w:val="32"/>
          <w:szCs w:val="32"/>
          <w:lang w:val="en-US" w:eastAsia="zh-CN" w:bidi="ar"/>
        </w:rPr>
        <w:t>乡党委认真贯彻落实《法治政府建设与责任落实督查工作规定》，</w:t>
      </w:r>
      <w:r>
        <w:rPr>
          <w:rFonts w:ascii="仿宋" w:hAnsi="仿宋" w:eastAsia="仿宋" w:cs="仿宋"/>
          <w:sz w:val="32"/>
          <w:szCs w:val="32"/>
        </w:rPr>
        <w:t>明确分工、压实责任、狠抓落实</w:t>
      </w:r>
      <w:r>
        <w:rPr>
          <w:rFonts w:hint="eastAsia" w:ascii="仿宋" w:hAnsi="仿宋" w:eastAsia="仿宋" w:cs="仿宋"/>
          <w:sz w:val="32"/>
          <w:szCs w:val="32"/>
          <w:lang w:eastAsia="zh-CN"/>
        </w:rPr>
        <w:t>，</w:t>
      </w:r>
      <w:r>
        <w:rPr>
          <w:rFonts w:hint="eastAsia" w:ascii="仿宋" w:hAnsi="仿宋" w:eastAsia="仿宋" w:cs="仿宋"/>
          <w:kern w:val="0"/>
          <w:sz w:val="32"/>
          <w:szCs w:val="32"/>
          <w:lang w:val="en-US" w:eastAsia="zh-CN" w:bidi="ar"/>
        </w:rPr>
        <w:t>实地督察、反馈、整改各项工作，</w:t>
      </w:r>
      <w:r>
        <w:rPr>
          <w:rFonts w:ascii="仿宋" w:hAnsi="仿宋" w:eastAsia="仿宋" w:cs="仿宋"/>
          <w:sz w:val="32"/>
          <w:szCs w:val="32"/>
        </w:rPr>
        <w:t>加强和完善行政执法案卷管理和评查、行政执法机关处理投诉举报、行政执法考核评议等制度</w:t>
      </w:r>
      <w:r>
        <w:rPr>
          <w:rFonts w:hint="eastAsia" w:ascii="仿宋" w:hAnsi="仿宋" w:eastAsia="仿宋" w:cs="仿宋"/>
          <w:sz w:val="32"/>
          <w:szCs w:val="32"/>
          <w:lang w:eastAsia="zh-CN"/>
        </w:rPr>
        <w:t>，</w:t>
      </w:r>
      <w:r>
        <w:rPr>
          <w:rFonts w:ascii="仿宋" w:hAnsi="仿宋" w:eastAsia="仿宋" w:cs="仿宋"/>
          <w:sz w:val="32"/>
          <w:szCs w:val="32"/>
        </w:rPr>
        <w:t>落实行政执法投诉举报办理制度和行政执法过错责任追究制度，强化行政执法监督结果运用</w:t>
      </w:r>
      <w:r>
        <w:rPr>
          <w:rFonts w:hint="eastAsia" w:ascii="仿宋" w:hAnsi="仿宋" w:eastAsia="仿宋" w:cs="仿宋"/>
          <w:sz w:val="32"/>
          <w:szCs w:val="32"/>
          <w:lang w:eastAsia="zh-CN"/>
        </w:rPr>
        <w:t>，促力</w:t>
      </w:r>
      <w:r>
        <w:rPr>
          <w:rFonts w:ascii="仿宋" w:hAnsi="仿宋" w:eastAsia="仿宋" w:cs="仿宋"/>
          <w:kern w:val="0"/>
          <w:sz w:val="32"/>
          <w:szCs w:val="32"/>
          <w:lang w:val="en-US" w:eastAsia="zh-CN" w:bidi="ar"/>
        </w:rPr>
        <w:t>建成比较完善的行政执法协调监督工作体系。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570" w:lineRule="exact"/>
        <w:ind w:left="0" w:right="0" w:firstLine="643" w:firstLineChars="200"/>
        <w:jc w:val="lef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（二）聚焦深化改革创新，加快转变政府职能</w:t>
      </w:r>
    </w:p>
    <w:p>
      <w:pPr>
        <w:pStyle w:val="2"/>
        <w:keepNext w:val="0"/>
        <w:keepLines w:val="0"/>
        <w:widowControl/>
        <w:suppressLineNumbers w:val="0"/>
        <w:spacing w:before="0" w:beforeAutospacing="0" w:after="0" w:afterAutospacing="0"/>
        <w:ind w:left="0" w:right="0" w:firstLine="628"/>
        <w:jc w:val="both"/>
        <w:rPr>
          <w:rFonts w:ascii="Calibri" w:hAnsi="Calibri" w:cs="Calibri"/>
          <w:sz w:val="21"/>
          <w:szCs w:val="21"/>
        </w:rPr>
      </w:pPr>
      <w:r>
        <w:rPr>
          <w:rFonts w:hint="eastAsia" w:ascii="黑体" w:hAnsi="黑体" w:eastAsia="黑体" w:cs="黑体"/>
          <w:b w:val="0"/>
          <w:bCs w:val="0"/>
          <w:color w:val="auto"/>
          <w:sz w:val="32"/>
          <w:szCs w:val="32"/>
          <w:lang w:val="en-US" w:eastAsia="zh-CN"/>
        </w:rPr>
        <w:t>一是持续推进“放管服”改革。</w:t>
      </w:r>
      <w:r>
        <w:rPr>
          <w:rFonts w:hint="eastAsia" w:ascii="仿宋" w:hAnsi="仿宋" w:eastAsia="仿宋" w:cs="仿宋"/>
          <w:kern w:val="0"/>
          <w:sz w:val="32"/>
          <w:szCs w:val="32"/>
          <w:lang w:val="en-US" w:eastAsia="zh-CN" w:bidi="ar"/>
        </w:rPr>
        <w:t>务实政府权责清单制度，调整完善权责清单，并实行动态管理。我乡</w:t>
      </w:r>
      <w:r>
        <w:rPr>
          <w:rFonts w:ascii="仿宋_GB2312" w:hAnsi="宋体" w:eastAsia="仿宋_GB2312" w:cs="仿宋_GB2312"/>
          <w:kern w:val="2"/>
          <w:sz w:val="32"/>
          <w:szCs w:val="32"/>
          <w:lang w:val="en-US" w:eastAsia="zh-CN" w:bidi="ar"/>
        </w:rPr>
        <w:t>加强对</w:t>
      </w:r>
      <w:r>
        <w:rPr>
          <w:rFonts w:hint="eastAsia" w:ascii="仿宋_GB2312" w:hAnsi="宋体" w:eastAsia="仿宋_GB2312" w:cs="仿宋_GB2312"/>
          <w:kern w:val="2"/>
          <w:sz w:val="32"/>
          <w:szCs w:val="32"/>
          <w:lang w:val="en-US" w:eastAsia="zh-CN" w:bidi="ar"/>
        </w:rPr>
        <w:t>便民服务中心</w:t>
      </w:r>
      <w:r>
        <w:rPr>
          <w:rFonts w:hint="eastAsia" w:ascii="宋体" w:hAnsi="宋体" w:eastAsia="宋体" w:cs="宋体"/>
          <w:kern w:val="2"/>
          <w:sz w:val="32"/>
          <w:szCs w:val="32"/>
          <w:lang w:val="en-US" w:eastAsia="zh-CN" w:bidi="ar"/>
        </w:rPr>
        <w:t>“</w:t>
      </w:r>
      <w:r>
        <w:rPr>
          <w:rFonts w:hint="eastAsia" w:ascii="仿宋_GB2312" w:hAnsi="宋体" w:eastAsia="仿宋_GB2312" w:cs="仿宋_GB2312"/>
          <w:kern w:val="2"/>
          <w:sz w:val="32"/>
          <w:szCs w:val="32"/>
          <w:lang w:val="en-US" w:eastAsia="zh-CN" w:bidi="ar"/>
        </w:rPr>
        <w:t>一窗式</w:t>
      </w:r>
      <w:r>
        <w:rPr>
          <w:rFonts w:hint="eastAsia" w:ascii="宋体" w:hAnsi="宋体" w:eastAsia="宋体" w:cs="宋体"/>
          <w:kern w:val="2"/>
          <w:sz w:val="32"/>
          <w:szCs w:val="32"/>
          <w:lang w:val="en-US" w:eastAsia="zh-CN" w:bidi="ar"/>
        </w:rPr>
        <w:t>”</w:t>
      </w:r>
      <w:r>
        <w:rPr>
          <w:rFonts w:hint="eastAsia" w:ascii="仿宋_GB2312" w:hAnsi="宋体" w:eastAsia="仿宋_GB2312" w:cs="仿宋_GB2312"/>
          <w:kern w:val="2"/>
          <w:sz w:val="32"/>
          <w:szCs w:val="32"/>
          <w:lang w:val="en-US" w:eastAsia="zh-CN" w:bidi="ar"/>
        </w:rPr>
        <w:t>工作人员的管理和培训，</w:t>
      </w:r>
      <w:r>
        <w:rPr>
          <w:rFonts w:ascii="仿宋" w:hAnsi="仿宋" w:eastAsia="仿宋" w:cs="仿宋"/>
          <w:sz w:val="32"/>
          <w:szCs w:val="32"/>
        </w:rPr>
        <w:t>强化审批服务力量</w:t>
      </w:r>
      <w:r>
        <w:rPr>
          <w:rFonts w:hint="eastAsia" w:ascii="仿宋" w:hAnsi="仿宋" w:eastAsia="仿宋" w:cs="仿宋"/>
          <w:sz w:val="32"/>
          <w:szCs w:val="32"/>
          <w:lang w:eastAsia="zh-CN"/>
        </w:rPr>
        <w:t>，</w:t>
      </w:r>
      <w:r>
        <w:rPr>
          <w:rFonts w:ascii="仿宋" w:hAnsi="仿宋" w:eastAsia="仿宋" w:cs="仿宋"/>
          <w:sz w:val="32"/>
          <w:szCs w:val="32"/>
        </w:rPr>
        <w:t>坚持传统服务与智能创新相结合，</w:t>
      </w:r>
      <w:r>
        <w:rPr>
          <w:rFonts w:hint="eastAsia" w:ascii="仿宋_GB2312" w:hAnsi="仿宋_GB2312" w:eastAsia="仿宋_GB2312" w:cs="仿宋_GB2312"/>
          <w:color w:val="auto"/>
          <w:sz w:val="32"/>
          <w:szCs w:val="32"/>
          <w:lang w:val="en-US" w:eastAsia="zh-CN"/>
        </w:rPr>
        <w:t>深入开展延时错时预约服务，</w:t>
      </w:r>
      <w:r>
        <w:rPr>
          <w:rFonts w:hint="eastAsia" w:ascii="仿宋_GB2312" w:hAnsi="宋体" w:eastAsia="仿宋_GB2312" w:cs="仿宋_GB2312"/>
          <w:kern w:val="2"/>
          <w:sz w:val="32"/>
          <w:szCs w:val="32"/>
          <w:lang w:val="en-US" w:eastAsia="zh-CN" w:bidi="ar"/>
        </w:rPr>
        <w:t>为企业和群众提供精准高效的帮办代办服务，</w:t>
      </w:r>
      <w:r>
        <w:rPr>
          <w:rFonts w:hint="eastAsia" w:ascii="仿宋" w:hAnsi="仿宋" w:eastAsia="仿宋" w:cs="仿宋"/>
          <w:sz w:val="32"/>
          <w:szCs w:val="32"/>
          <w:lang w:eastAsia="zh-CN"/>
        </w:rPr>
        <w:t>对涉企经营</w:t>
      </w:r>
      <w:r>
        <w:rPr>
          <w:rFonts w:ascii="仿宋" w:hAnsi="仿宋" w:eastAsia="仿宋" w:cs="仿宋"/>
          <w:sz w:val="32"/>
          <w:szCs w:val="32"/>
        </w:rPr>
        <w:t>降低各类资质资格许可事项准入门槛</w:t>
      </w:r>
      <w:r>
        <w:rPr>
          <w:rFonts w:hint="eastAsia" w:ascii="仿宋" w:hAnsi="仿宋" w:eastAsia="仿宋" w:cs="仿宋"/>
          <w:sz w:val="32"/>
          <w:szCs w:val="32"/>
          <w:lang w:eastAsia="zh-CN"/>
        </w:rPr>
        <w:t>，</w:t>
      </w:r>
      <w:r>
        <w:rPr>
          <w:rFonts w:ascii="仿宋" w:hAnsi="仿宋" w:eastAsia="仿宋" w:cs="仿宋"/>
          <w:sz w:val="32"/>
          <w:szCs w:val="32"/>
        </w:rPr>
        <w:t>推进“证照分离”改革和“</w:t>
      </w:r>
      <w:r>
        <w:rPr>
          <w:rFonts w:hint="eastAsia" w:ascii="仿宋" w:hAnsi="仿宋" w:eastAsia="仿宋" w:cs="仿宋"/>
          <w:sz w:val="32"/>
          <w:szCs w:val="32"/>
          <w:lang w:eastAsia="zh-CN"/>
        </w:rPr>
        <w:t>一照通办</w:t>
      </w:r>
      <w:r>
        <w:rPr>
          <w:rFonts w:ascii="仿宋" w:hAnsi="仿宋" w:eastAsia="仿宋" w:cs="仿宋"/>
          <w:sz w:val="32"/>
          <w:szCs w:val="32"/>
        </w:rPr>
        <w:t>”改革。推行行政审批告知承诺制，落实证明事项告知承诺制。</w:t>
      </w:r>
    </w:p>
    <w:p>
      <w:pPr>
        <w:pStyle w:val="2"/>
        <w:keepNext w:val="0"/>
        <w:keepLines w:val="0"/>
        <w:widowControl/>
        <w:suppressLineNumbers w:val="0"/>
        <w:spacing w:before="0" w:beforeAutospacing="0" w:after="0" w:afterAutospacing="0"/>
        <w:ind w:left="0" w:right="0" w:firstLine="628"/>
        <w:jc w:val="both"/>
        <w:rPr>
          <w:rFonts w:ascii="仿宋" w:hAnsi="仿宋" w:eastAsia="仿宋" w:cs="仿宋"/>
          <w:color w:val="000000"/>
          <w:sz w:val="32"/>
          <w:szCs w:val="32"/>
        </w:rPr>
      </w:pPr>
      <w:r>
        <w:rPr>
          <w:rFonts w:hint="eastAsia" w:ascii="黑体" w:hAnsi="黑体" w:eastAsia="黑体" w:cs="黑体"/>
          <w:b w:val="0"/>
          <w:bCs w:val="0"/>
          <w:color w:val="auto"/>
          <w:kern w:val="0"/>
          <w:sz w:val="32"/>
          <w:szCs w:val="32"/>
          <w:lang w:val="en-US" w:eastAsia="zh-CN" w:bidi="ar"/>
        </w:rPr>
        <w:t>二是创新监管服务方式。</w:t>
      </w:r>
      <w:r>
        <w:rPr>
          <w:rFonts w:hint="eastAsia" w:ascii="宋体" w:hAnsi="宋体" w:eastAsia="宋体" w:cs="宋体"/>
          <w:sz w:val="32"/>
          <w:szCs w:val="32"/>
          <w:lang w:val="en-US" w:eastAsia="zh-CN"/>
        </w:rPr>
        <w:t>我乡</w:t>
      </w:r>
      <w:r>
        <w:rPr>
          <w:rFonts w:ascii="仿宋" w:hAnsi="仿宋" w:eastAsia="仿宋" w:cs="仿宋"/>
          <w:sz w:val="32"/>
          <w:szCs w:val="32"/>
        </w:rPr>
        <w:t>依托“</w:t>
      </w:r>
      <w:r>
        <w:rPr>
          <w:rFonts w:hint="eastAsia" w:ascii="宋体" w:hAnsi="宋体" w:eastAsia="宋体" w:cs="宋体"/>
          <w:sz w:val="32"/>
          <w:szCs w:val="32"/>
        </w:rPr>
        <w:t>12345</w:t>
      </w:r>
      <w:r>
        <w:rPr>
          <w:rFonts w:hint="eastAsia" w:ascii="仿宋" w:hAnsi="仿宋" w:eastAsia="仿宋" w:cs="仿宋"/>
          <w:sz w:val="32"/>
          <w:szCs w:val="32"/>
        </w:rPr>
        <w:t>”热线平台、“好差评”等多样化监督手段，</w:t>
      </w:r>
      <w:r>
        <w:rPr>
          <w:rFonts w:ascii="仿宋" w:hAnsi="仿宋" w:eastAsia="仿宋" w:cs="仿宋"/>
          <w:sz w:val="32"/>
          <w:szCs w:val="32"/>
        </w:rPr>
        <w:t>加强事中事后监管</w:t>
      </w:r>
      <w:r>
        <w:rPr>
          <w:rFonts w:hint="eastAsia" w:ascii="仿宋" w:hAnsi="仿宋" w:eastAsia="仿宋" w:cs="仿宋"/>
          <w:sz w:val="32"/>
          <w:szCs w:val="32"/>
          <w:lang w:eastAsia="zh-CN"/>
        </w:rPr>
        <w:t>，努力</w:t>
      </w:r>
      <w:r>
        <w:rPr>
          <w:rFonts w:ascii="仿宋" w:hAnsi="仿宋" w:eastAsia="仿宋" w:cs="仿宋"/>
          <w:sz w:val="32"/>
          <w:szCs w:val="32"/>
        </w:rPr>
        <w:t>健全以“双随机、一公开”监管和“互联网</w:t>
      </w:r>
      <w:r>
        <w:rPr>
          <w:rFonts w:hint="eastAsia" w:ascii="宋体" w:hAnsi="宋体" w:eastAsia="宋体" w:cs="宋体"/>
          <w:sz w:val="32"/>
          <w:szCs w:val="32"/>
        </w:rPr>
        <w:t>+</w:t>
      </w:r>
      <w:r>
        <w:rPr>
          <w:rFonts w:hint="eastAsia" w:ascii="仿宋" w:hAnsi="仿宋" w:eastAsia="仿宋" w:cs="仿宋"/>
          <w:sz w:val="32"/>
          <w:szCs w:val="32"/>
        </w:rPr>
        <w:t>监管”为基本手段、以重点监管为补充、以信用监管为基础的新型监管机制。</w:t>
      </w:r>
      <w:r>
        <w:rPr>
          <w:rFonts w:hint="eastAsia" w:ascii="仿宋" w:hAnsi="仿宋" w:eastAsia="仿宋" w:cs="仿宋"/>
          <w:sz w:val="32"/>
          <w:szCs w:val="32"/>
          <w:lang w:eastAsia="zh-CN"/>
        </w:rPr>
        <w:t>在例会时乡机关干部认真</w:t>
      </w:r>
      <w:r>
        <w:rPr>
          <w:rFonts w:ascii="仿宋" w:hAnsi="仿宋" w:eastAsia="仿宋" w:cs="仿宋"/>
          <w:color w:val="000000"/>
          <w:sz w:val="32"/>
          <w:szCs w:val="32"/>
        </w:rPr>
        <w:t>学习</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为优化营商环境提供</w:t>
      </w:r>
      <w:r>
        <w:rPr>
          <w:rFonts w:hint="eastAsia" w:ascii="仿宋" w:hAnsi="仿宋" w:eastAsia="仿宋" w:cs="仿宋"/>
          <w:color w:val="000000"/>
          <w:sz w:val="32"/>
          <w:szCs w:val="32"/>
          <w:lang w:eastAsia="zh-CN"/>
        </w:rPr>
        <w:t>行政审批、安全生产、消防、法律等</w:t>
      </w:r>
      <w:r>
        <w:rPr>
          <w:rFonts w:ascii="仿宋" w:hAnsi="仿宋" w:eastAsia="仿宋" w:cs="仿宋"/>
          <w:color w:val="000000"/>
          <w:sz w:val="32"/>
          <w:szCs w:val="32"/>
        </w:rPr>
        <w:t>服务</w:t>
      </w:r>
      <w:r>
        <w:rPr>
          <w:rFonts w:hint="eastAsia" w:ascii="仿宋" w:hAnsi="仿宋" w:eastAsia="仿宋" w:cs="仿宋"/>
          <w:color w:val="000000"/>
          <w:sz w:val="32"/>
          <w:szCs w:val="32"/>
          <w:lang w:eastAsia="zh-CN"/>
        </w:rPr>
        <w:t>，及时</w:t>
      </w:r>
      <w:r>
        <w:rPr>
          <w:rFonts w:ascii="仿宋" w:hAnsi="仿宋" w:eastAsia="仿宋" w:cs="仿宋"/>
          <w:color w:val="000000"/>
          <w:sz w:val="32"/>
          <w:szCs w:val="32"/>
        </w:rPr>
        <w:t>总结优化营商环境经验。</w:t>
      </w:r>
    </w:p>
    <w:p>
      <w:pPr>
        <w:pStyle w:val="2"/>
        <w:keepNext w:val="0"/>
        <w:keepLines w:val="0"/>
        <w:widowControl/>
        <w:suppressLineNumbers w:val="0"/>
        <w:spacing w:before="0" w:beforeAutospacing="0" w:after="0" w:afterAutospacing="0"/>
        <w:ind w:left="0" w:right="0" w:firstLine="628"/>
        <w:jc w:val="both"/>
        <w:rPr>
          <w:rFonts w:hint="eastAsia" w:ascii="仿宋" w:hAnsi="仿宋" w:eastAsia="仿宋" w:cs="仿宋"/>
          <w:color w:val="000000"/>
          <w:sz w:val="32"/>
          <w:szCs w:val="32"/>
          <w:lang w:val="en-US" w:eastAsia="zh-CN"/>
        </w:rPr>
      </w:pPr>
      <w:r>
        <w:rPr>
          <w:rFonts w:hint="eastAsia" w:ascii="黑体" w:hAnsi="黑体" w:eastAsia="黑体" w:cs="黑体"/>
          <w:b w:val="0"/>
          <w:bCs w:val="0"/>
          <w:color w:val="auto"/>
          <w:kern w:val="0"/>
          <w:sz w:val="32"/>
          <w:szCs w:val="32"/>
          <w:lang w:val="en-US" w:eastAsia="zh-CN" w:bidi="ar"/>
        </w:rPr>
        <w:t>三是提升权利运行透明度。</w:t>
      </w:r>
      <w:r>
        <w:rPr>
          <w:rFonts w:hint="eastAsia" w:ascii="仿宋" w:hAnsi="仿宋" w:eastAsia="仿宋" w:cs="仿宋"/>
          <w:color w:val="000000"/>
          <w:sz w:val="32"/>
          <w:szCs w:val="32"/>
          <w:lang w:val="en-US" w:eastAsia="zh-CN"/>
        </w:rPr>
        <w:t>落实《中华人民政府信息公开调例》，推进政务信息公开化，做到法定主动公开内容全部公开到位。畅通网络问政渠道，对社会关注度高、人民群众反映强烈的问题进行重点关注。乡政府自觉接受人大监督、社会监督，认真办理人大代表建议。进一步完善政务诚信建设工作机制，构建政务诚信监测评估指标和治理责任体系。</w:t>
      </w:r>
    </w:p>
    <w:p>
      <w:pPr>
        <w:pStyle w:val="2"/>
        <w:keepNext w:val="0"/>
        <w:keepLines w:val="0"/>
        <w:widowControl/>
        <w:suppressLineNumbers w:val="0"/>
        <w:spacing w:before="0" w:beforeAutospacing="0" w:after="0" w:afterAutospacing="0"/>
        <w:ind w:left="0" w:right="0" w:firstLine="628"/>
        <w:jc w:val="both"/>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（三）健全依法行政体制机制，全面提升依法治理能力</w:t>
      </w:r>
    </w:p>
    <w:p>
      <w:pPr>
        <w:ind w:firstLine="640" w:firstLineChars="200"/>
        <w:rPr>
          <w:rFonts w:hint="eastAsia" w:ascii="黑体" w:hAnsi="黑体" w:eastAsia="黑体"/>
          <w:sz w:val="32"/>
          <w:szCs w:val="32"/>
        </w:rPr>
      </w:pPr>
      <w:r>
        <w:rPr>
          <w:rFonts w:hint="eastAsia" w:ascii="黑体" w:hAnsi="黑体" w:eastAsia="黑体" w:cs="黑体"/>
          <w:b w:val="0"/>
          <w:bCs w:val="0"/>
          <w:color w:val="auto"/>
          <w:kern w:val="0"/>
          <w:sz w:val="32"/>
          <w:szCs w:val="32"/>
          <w:lang w:val="en-US" w:eastAsia="zh-CN" w:bidi="ar"/>
        </w:rPr>
        <w:t>一是落实规范性文件审查机制。</w:t>
      </w:r>
      <w:r>
        <w:rPr>
          <w:rFonts w:hint="eastAsia" w:ascii="仿宋" w:hAnsi="仿宋" w:eastAsia="仿宋" w:cs="仿宋"/>
          <w:color w:val="000000"/>
          <w:kern w:val="0"/>
          <w:sz w:val="32"/>
          <w:szCs w:val="32"/>
          <w:lang w:val="en-US" w:eastAsia="zh-CN" w:bidi="ar"/>
        </w:rPr>
        <w:t>严格实行政府规范性文件“三统一”和有效期制度，严把规范性文件审查关，备案关和登记关，做好规范性文件报备，清理和后评估工作。2022年以来，对2件行政规范性文件重大行政决策、46份项目合同等草案进行了合法性审查，乡政府聘请冠群律师事务所刘惠米任乡政府法律顾问，针对乡政府对外签订的项目合同，出具法律顾问意见书46份。</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二是规范行政执法决策程序。</w:t>
      </w:r>
      <w:r>
        <w:rPr>
          <w:rFonts w:hint="eastAsia" w:ascii="仿宋" w:hAnsi="仿宋" w:eastAsia="仿宋" w:cs="仿宋"/>
          <w:color w:val="000000"/>
          <w:kern w:val="0"/>
          <w:sz w:val="32"/>
          <w:szCs w:val="32"/>
          <w:lang w:val="en-US" w:eastAsia="zh-CN" w:bidi="ar"/>
        </w:rPr>
        <w:t>乡党委以行政执法规范化建设为切入点，全面推行行政执法三项制度，执法队严格依照事前、事中、事后三个环节编制执法过程记录清单、重大执法决定、法制审核清单、执法事项清单等，在乡政府官方网站公布执法事项、执法决定、执法投诉、举报方式等，并对重大执法决定开展合法性审核。</w:t>
      </w:r>
    </w:p>
    <w:p>
      <w:pPr>
        <w:spacing w:before="169" w:line="551" w:lineRule="exact"/>
        <w:ind w:firstLine="321" w:firstLineChars="100"/>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（四）健全矛盾纠纷多元化解机制，全面提升维护社会稳定能力</w:t>
      </w:r>
    </w:p>
    <w:p>
      <w:pPr>
        <w:spacing w:before="178" w:line="213" w:lineRule="auto"/>
        <w:ind w:firstLine="640" w:firstLineChars="200"/>
        <w:outlineLvl w:val="0"/>
        <w:rPr>
          <w:rFonts w:hint="eastAsia" w:ascii="仿宋" w:hAnsi="仿宋" w:eastAsia="仿宋" w:cs="仿宋"/>
          <w:color w:val="000000"/>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一是聚焦源头防范化解矛盾纠纷。</w:t>
      </w:r>
      <w:r>
        <w:rPr>
          <w:rFonts w:hint="eastAsia" w:ascii="仿宋" w:hAnsi="仿宋" w:eastAsia="仿宋" w:cs="仿宋"/>
          <w:color w:val="000000"/>
          <w:kern w:val="0"/>
          <w:sz w:val="32"/>
          <w:szCs w:val="32"/>
          <w:lang w:val="en-US" w:eastAsia="zh-CN" w:bidi="ar"/>
        </w:rPr>
        <w:t>我乡全面落实《江西省矛盾纠纷多元化解条例》, 建立18个村（社区）综治中心和18个村（社区）调解委员会，通过说服、疏导、劝解等方式，形成社会矛盾纠纷多元预防调处体系。2022年以来，通过多元化解机制调处各类矛盾纠纷162件，调解成功162件，调处成功率100%，办理法律援助案件3件，接待法律咨询269余人次，把矛盾化解在基层和萌芽状态。</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二是强化行政复议和应诉工作。</w:t>
      </w:r>
      <w:r>
        <w:rPr>
          <w:rFonts w:hint="eastAsia" w:ascii="仿宋" w:hAnsi="仿宋" w:eastAsia="仿宋" w:cs="仿宋"/>
          <w:color w:val="000000"/>
          <w:kern w:val="0"/>
          <w:sz w:val="32"/>
          <w:szCs w:val="32"/>
          <w:lang w:val="en-US" w:eastAsia="zh-CN" w:bidi="ar"/>
        </w:rPr>
        <w:t>加强与司法局、法院及涉案部门的协调沟通，有效整合行政复议职责，建立行政复议行政诉讼事前交办会、事中审查会、事后评估会和研判调解“三会一调”制度，确保行政复议案件办理符合法定程序和时限要求，推动行政复议，行政诉讼案件实体化解，坚决纠正违法或不当行政行为。2022年以来办理行政应诉案件3件，未发生行政机关和当事人反映行政复议行政诉讼裁决未履行的情况。</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三是提升公共法律服务水平。</w:t>
      </w:r>
      <w:r>
        <w:rPr>
          <w:rFonts w:hint="eastAsia" w:ascii="仿宋" w:hAnsi="仿宋" w:eastAsia="仿宋" w:cs="仿宋"/>
          <w:color w:val="000000"/>
          <w:kern w:val="0"/>
          <w:sz w:val="32"/>
          <w:szCs w:val="32"/>
          <w:lang w:val="en-US" w:eastAsia="zh-CN" w:bidi="ar"/>
        </w:rPr>
        <w:t>我乡打造好乡级公共法律服务站，进一步提升公共法律服务能力。同时加大专职人民调解员配备力度，实现18个村居人民调解组织全覆盖，现有人民调解员115人，专职调解员20人。从乡对接律师事务所律师和村（社区）人民调解专职调解员中精选2名骨干人员，对乡重大决策事项或疑难事项提供咨询服务，有效防范法律风险。</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四是提高普法宣传质效。</w:t>
      </w:r>
      <w:r>
        <w:rPr>
          <w:rFonts w:hint="eastAsia" w:ascii="仿宋" w:hAnsi="仿宋" w:eastAsia="仿宋" w:cs="仿宋"/>
          <w:color w:val="000000"/>
          <w:kern w:val="0"/>
          <w:sz w:val="32"/>
          <w:szCs w:val="32"/>
          <w:lang w:val="en-US" w:eastAsia="zh-CN" w:bidi="ar"/>
        </w:rPr>
        <w:t>乡党委通过召开乡党委会议和中心组学习会议，认真学习贯彻习近平法治思想和《宪法》《民法典》等法律法规，认真学习贯彻中央全面依法治国工作会议精神及法治建设有关文件精神，不断提高“关键少数”依法决策、依法办事能力，带动广大领导干部和工作人员法治思维和法治能力提升。继续实施法律明白人培养工程，同时组织精干力量，联合公检法等单位在村社区开展法律知识宣传10余次，共发放宣传资料1万余份，同时利用好LED显示屏、微信群、QQ群、公众号等开展了法治宣传工作，使广大农民成为学法、知法、遵纪守法的好公民。大力打造乡村法治文化阵地，目前乡村两级均已打造法治文化广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800" w:leftChars="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二、目前存在的问题和不足</w:t>
      </w:r>
    </w:p>
    <w:p>
      <w:pPr>
        <w:ind w:firstLine="640" w:firstLineChars="200"/>
        <w:rPr>
          <w:rFonts w:hint="eastAsia" w:ascii="黑体" w:hAnsi="黑体" w:eastAsia="黑体" w:cs="黑体"/>
          <w:b w:val="0"/>
          <w:bCs w:val="0"/>
          <w:color w:val="auto"/>
          <w:sz w:val="32"/>
          <w:szCs w:val="32"/>
        </w:rPr>
      </w:pPr>
      <w:r>
        <w:rPr>
          <w:rFonts w:hint="eastAsia" w:ascii="仿宋" w:hAnsi="仿宋" w:eastAsia="仿宋" w:cs="仿宋"/>
          <w:color w:val="000000"/>
          <w:kern w:val="0"/>
          <w:sz w:val="32"/>
          <w:szCs w:val="32"/>
          <w:lang w:val="en-US" w:eastAsia="zh-CN" w:bidi="ar"/>
        </w:rPr>
        <w:t>行政执法队伍建设有待加强，特别是执法人员自身的专业素养不高，可能间接导致执法程序的不规范性。需要注重执法队伍人才引进的专业性要求和后期的人员培训，逐步提升行政执法能力。</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800" w:leftChars="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w:t>
      </w:r>
      <w:r>
        <w:rPr>
          <w:rFonts w:hint="eastAsia" w:ascii="黑体" w:hAnsi="黑体" w:eastAsia="黑体" w:cs="黑体"/>
          <w:b w:val="0"/>
          <w:bCs w:val="0"/>
          <w:color w:val="auto"/>
          <w:sz w:val="32"/>
          <w:szCs w:val="32"/>
          <w:lang w:val="en-US" w:eastAsia="zh-CN"/>
        </w:rPr>
        <w:t>2023年</w:t>
      </w:r>
      <w:r>
        <w:rPr>
          <w:rFonts w:hint="eastAsia" w:ascii="黑体" w:hAnsi="黑体" w:eastAsia="黑体" w:cs="黑体"/>
          <w:b w:val="0"/>
          <w:bCs w:val="0"/>
          <w:color w:val="auto"/>
          <w:sz w:val="32"/>
          <w:szCs w:val="32"/>
        </w:rPr>
        <w:t>工作打算</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sz w:val="32"/>
          <w:szCs w:val="32"/>
        </w:rPr>
        <w:t>（一）深化行政执法体制改革。</w:t>
      </w:r>
      <w:r>
        <w:rPr>
          <w:rFonts w:hint="eastAsia" w:ascii="仿宋" w:hAnsi="仿宋" w:eastAsia="仿宋" w:cs="仿宋"/>
          <w:color w:val="000000"/>
          <w:kern w:val="0"/>
          <w:sz w:val="32"/>
          <w:szCs w:val="32"/>
          <w:lang w:val="en-US" w:eastAsia="zh-CN" w:bidi="ar"/>
        </w:rPr>
        <w:t>完善权责清晰，运转顺畅，保障有力，廉洁高效的行政执法体制机制，提高执法执行力和公信力，全面推进严格规范公正文明执法，加大关系群众切身利益的重点领域执法力度，完善行政执法程序，健全行政裁量基准。</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sz w:val="32"/>
          <w:szCs w:val="32"/>
        </w:rPr>
        <w:t>（二）优化政府职责体系和组织结构</w:t>
      </w:r>
      <w:r>
        <w:rPr>
          <w:rFonts w:hint="eastAsia" w:ascii="宋体" w:hAnsi="宋体" w:eastAsia="宋体" w:cs="宋体"/>
          <w:spacing w:val="8"/>
          <w:sz w:val="32"/>
          <w:szCs w:val="32"/>
        </w:rPr>
        <w:t>。</w:t>
      </w:r>
      <w:r>
        <w:rPr>
          <w:rFonts w:hint="eastAsia" w:ascii="仿宋" w:hAnsi="仿宋" w:eastAsia="仿宋" w:cs="仿宋"/>
          <w:color w:val="000000"/>
          <w:kern w:val="0"/>
          <w:sz w:val="32"/>
          <w:szCs w:val="32"/>
          <w:lang w:val="en-US" w:eastAsia="zh-CN" w:bidi="ar"/>
        </w:rPr>
        <w:t>强化编制、人员、经费、技术配套保障，推进机关、职能、权限、程序、责任法定化，提高行政效率和公信力。</w:t>
      </w:r>
    </w:p>
    <w:p>
      <w:pPr>
        <w:ind w:firstLine="640" w:firstLineChars="200"/>
        <w:rPr>
          <w:rFonts w:hint="eastAsia" w:ascii="仿宋" w:hAnsi="仿宋" w:eastAsia="仿宋" w:cs="仿宋"/>
          <w:color w:val="000000"/>
          <w:kern w:val="0"/>
          <w:sz w:val="32"/>
          <w:szCs w:val="32"/>
          <w:lang w:val="en-US" w:eastAsia="zh-CN" w:bidi="ar"/>
        </w:rPr>
      </w:pPr>
      <w:r>
        <w:rPr>
          <w:rFonts w:hint="eastAsia" w:ascii="黑体" w:hAnsi="黑体" w:eastAsia="黑体"/>
          <w:sz w:val="32"/>
          <w:szCs w:val="32"/>
        </w:rPr>
        <w:t>（</w:t>
      </w:r>
      <w:r>
        <w:rPr>
          <w:rFonts w:hint="eastAsia" w:ascii="黑体" w:hAnsi="黑体" w:eastAsia="黑体"/>
          <w:sz w:val="32"/>
          <w:szCs w:val="32"/>
          <w:lang w:eastAsia="zh-CN"/>
        </w:rPr>
        <w:t>三</w:t>
      </w:r>
      <w:r>
        <w:rPr>
          <w:rFonts w:hint="eastAsia" w:ascii="黑体" w:hAnsi="黑体" w:eastAsia="黑体"/>
          <w:sz w:val="32"/>
          <w:szCs w:val="32"/>
        </w:rPr>
        <w:t>）强化行政执法监督机制和能力建设</w:t>
      </w:r>
      <w:r>
        <w:rPr>
          <w:rFonts w:hint="eastAsia" w:ascii="黑体" w:hAnsi="黑体" w:eastAsia="黑体"/>
          <w:sz w:val="32"/>
          <w:szCs w:val="32"/>
          <w:lang w:eastAsia="zh-CN"/>
        </w:rPr>
        <w:t>。</w:t>
      </w:r>
      <w:r>
        <w:rPr>
          <w:rFonts w:hint="eastAsia" w:ascii="仿宋" w:hAnsi="仿宋" w:eastAsia="仿宋" w:cs="仿宋"/>
          <w:color w:val="000000"/>
          <w:kern w:val="0"/>
          <w:sz w:val="32"/>
          <w:szCs w:val="32"/>
          <w:lang w:val="en-US" w:eastAsia="zh-CN" w:bidi="ar"/>
        </w:rPr>
        <w:t>严格落实行政执法责任制和责任追究制度。严格落实行政执法公示，执法全过程记录，重大行政决定法制审核制度，提升行政执法水平。规范行政法案件管理，组织开展检查，提升执法案卷评查质量。</w:t>
      </w:r>
    </w:p>
    <w:p>
      <w:pPr>
        <w:ind w:firstLine="640" w:firstLineChars="200"/>
        <w:rPr>
          <w:rFonts w:hint="eastAsia" w:ascii="仿宋_GB2312" w:hAnsi="仿宋_GB2312" w:eastAsia="仿宋_GB2312" w:cs="仿宋_GB2312"/>
          <w:color w:val="auto"/>
          <w:sz w:val="32"/>
          <w:szCs w:val="32"/>
          <w:lang w:val="en-US" w:eastAsia="zh-CN"/>
        </w:rPr>
      </w:pPr>
      <w:r>
        <w:rPr>
          <w:rFonts w:hint="eastAsia" w:ascii="黑体" w:hAnsi="黑体" w:eastAsia="黑体"/>
          <w:sz w:val="32"/>
          <w:szCs w:val="32"/>
        </w:rPr>
        <w:t>（</w:t>
      </w:r>
      <w:r>
        <w:rPr>
          <w:rFonts w:hint="eastAsia" w:ascii="黑体" w:hAnsi="黑体" w:eastAsia="黑体"/>
          <w:sz w:val="32"/>
          <w:szCs w:val="32"/>
          <w:lang w:eastAsia="zh-CN"/>
        </w:rPr>
        <w:t>四</w:t>
      </w:r>
      <w:r>
        <w:rPr>
          <w:rFonts w:hint="eastAsia" w:ascii="黑体" w:hAnsi="黑体" w:eastAsia="黑体"/>
          <w:sz w:val="32"/>
          <w:szCs w:val="32"/>
        </w:rPr>
        <w:t>）完善基层综合执法体制机制。</w:t>
      </w:r>
      <w:r>
        <w:rPr>
          <w:rFonts w:hint="eastAsia" w:ascii="仿宋" w:hAnsi="仿宋" w:eastAsia="仿宋" w:cs="仿宋"/>
          <w:color w:val="000000"/>
          <w:kern w:val="0"/>
          <w:sz w:val="32"/>
          <w:szCs w:val="32"/>
          <w:lang w:val="en-US" w:eastAsia="zh-CN" w:bidi="ar"/>
        </w:rPr>
        <w:t>积极稳妥、因地制宜、科学合理的推进基层行政执法体制综合改革，落实行政执法人员持岗上证和资格管理制度，加大行政执法人员管理培训力度，全面提升行政执法人员素质，深入推进轻微违法行为，依法免予处罚清单，让执法既有力度又有温度。</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赣州市南康区赤土畲族乡人民政府</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2022年11月22日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1971D"/>
    <w:multiLevelType w:val="singleLevel"/>
    <w:tmpl w:val="D211971D"/>
    <w:lvl w:ilvl="0" w:tentative="0">
      <w:start w:val="1"/>
      <w:numFmt w:val="chineseCounting"/>
      <w:suff w:val="nothing"/>
      <w:lvlText w:val="（%1）"/>
      <w:lvlJc w:val="left"/>
      <w:pPr>
        <w:ind w:left="960" w:leftChars="0" w:firstLine="0" w:firstLineChars="0"/>
      </w:pPr>
      <w:rPr>
        <w:rFonts w:hint="eastAsia"/>
      </w:rPr>
    </w:lvl>
  </w:abstractNum>
  <w:abstractNum w:abstractNumId="1">
    <w:nsid w:val="1601FAD6"/>
    <w:multiLevelType w:val="singleLevel"/>
    <w:tmpl w:val="1601FAD6"/>
    <w:lvl w:ilvl="0" w:tentative="0">
      <w:start w:val="1"/>
      <w:numFmt w:val="chineseCounting"/>
      <w:suff w:val="nothing"/>
      <w:lvlText w:val="%1、"/>
      <w:lvlJc w:val="left"/>
      <w:pPr>
        <w:ind w:left="80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MjQ2Nzc5NjM2MmUzYTM0Yzc4NWVkNzJkNDY5M2EifQ=="/>
  </w:docVars>
  <w:rsids>
    <w:rsidRoot w:val="5D207AC3"/>
    <w:rsid w:val="012B444D"/>
    <w:rsid w:val="0345535F"/>
    <w:rsid w:val="03FB660C"/>
    <w:rsid w:val="0512745A"/>
    <w:rsid w:val="05AE6C89"/>
    <w:rsid w:val="092E5C52"/>
    <w:rsid w:val="095E1B17"/>
    <w:rsid w:val="0B381EF4"/>
    <w:rsid w:val="0F421593"/>
    <w:rsid w:val="0F4D75A3"/>
    <w:rsid w:val="127F1BE9"/>
    <w:rsid w:val="1389504F"/>
    <w:rsid w:val="16E21E84"/>
    <w:rsid w:val="19052CB2"/>
    <w:rsid w:val="19992DEB"/>
    <w:rsid w:val="1DA06D99"/>
    <w:rsid w:val="206B4E99"/>
    <w:rsid w:val="21AB056A"/>
    <w:rsid w:val="224C7B42"/>
    <w:rsid w:val="22B45E4A"/>
    <w:rsid w:val="23196583"/>
    <w:rsid w:val="2321776B"/>
    <w:rsid w:val="23B41D2D"/>
    <w:rsid w:val="24DB386C"/>
    <w:rsid w:val="26301B09"/>
    <w:rsid w:val="26781A05"/>
    <w:rsid w:val="280460D5"/>
    <w:rsid w:val="2AFE685E"/>
    <w:rsid w:val="2D6774AB"/>
    <w:rsid w:val="31F86DAA"/>
    <w:rsid w:val="33AC5569"/>
    <w:rsid w:val="33E4737F"/>
    <w:rsid w:val="35092F1D"/>
    <w:rsid w:val="355619D4"/>
    <w:rsid w:val="369F7D9C"/>
    <w:rsid w:val="36A43A80"/>
    <w:rsid w:val="370E769C"/>
    <w:rsid w:val="37280FE5"/>
    <w:rsid w:val="37F601FE"/>
    <w:rsid w:val="394F3325"/>
    <w:rsid w:val="3B985061"/>
    <w:rsid w:val="3C3C71E7"/>
    <w:rsid w:val="3D7A5907"/>
    <w:rsid w:val="40B47C8D"/>
    <w:rsid w:val="41C932CA"/>
    <w:rsid w:val="435127ED"/>
    <w:rsid w:val="43C05621"/>
    <w:rsid w:val="43C52FFD"/>
    <w:rsid w:val="440F1C8C"/>
    <w:rsid w:val="45F63209"/>
    <w:rsid w:val="4B221C9D"/>
    <w:rsid w:val="4DF34F39"/>
    <w:rsid w:val="51E6025E"/>
    <w:rsid w:val="553D7E00"/>
    <w:rsid w:val="56CF1002"/>
    <w:rsid w:val="58105524"/>
    <w:rsid w:val="5C237993"/>
    <w:rsid w:val="5D207AC3"/>
    <w:rsid w:val="644D0B99"/>
    <w:rsid w:val="68785072"/>
    <w:rsid w:val="69731BEA"/>
    <w:rsid w:val="6A691183"/>
    <w:rsid w:val="6AFE552F"/>
    <w:rsid w:val="6F9F1F9D"/>
    <w:rsid w:val="70972D33"/>
    <w:rsid w:val="753E59BE"/>
    <w:rsid w:val="789905C7"/>
    <w:rsid w:val="7CBE516E"/>
    <w:rsid w:val="7F00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before9"/>
    <w:basedOn w:val="4"/>
    <w:qFormat/>
    <w:uiPriority w:val="0"/>
  </w:style>
  <w:style w:type="character" w:customStyle="1" w:styleId="8">
    <w:name w:val="before10"/>
    <w:basedOn w:val="4"/>
    <w:qFormat/>
    <w:uiPriority w:val="0"/>
  </w:style>
  <w:style w:type="character" w:customStyle="1" w:styleId="9">
    <w:name w:val="after1"/>
    <w:basedOn w:val="4"/>
    <w:qFormat/>
    <w:uiPriority w:val="0"/>
    <w:rPr>
      <w:bdr w:val="single" w:color="DDDDDD" w:sz="4" w:space="0"/>
      <w:shd w:val="clear" w:fill="FFFFFF"/>
    </w:rPr>
  </w:style>
  <w:style w:type="character" w:customStyle="1" w:styleId="10">
    <w:name w:val="article-icon"/>
    <w:basedOn w:val="4"/>
    <w:qFormat/>
    <w:uiPriority w:val="0"/>
  </w:style>
  <w:style w:type="character" w:customStyle="1" w:styleId="11">
    <w:name w:val="hover14"/>
    <w:basedOn w:val="4"/>
    <w:qFormat/>
    <w:uiPriority w:val="0"/>
    <w:rPr>
      <w:shd w:val="clear" w:fill="929292"/>
    </w:rPr>
  </w:style>
  <w:style w:type="character" w:customStyle="1" w:styleId="12">
    <w:name w:val="hover15"/>
    <w:basedOn w:val="4"/>
    <w:qFormat/>
    <w:uiPriority w:val="0"/>
    <w:rPr>
      <w:color w:val="000000"/>
      <w:shd w:val="clear" w:fill="FFFFFF"/>
    </w:rPr>
  </w:style>
  <w:style w:type="character" w:customStyle="1" w:styleId="13">
    <w:name w:val="wx-space"/>
    <w:basedOn w:val="4"/>
    <w:qFormat/>
    <w:uiPriority w:val="0"/>
  </w:style>
  <w:style w:type="character" w:customStyle="1" w:styleId="14">
    <w:name w:val="wx-space1"/>
    <w:basedOn w:val="4"/>
    <w:qFormat/>
    <w:uiPriority w:val="0"/>
  </w:style>
  <w:style w:type="character" w:customStyle="1" w:styleId="15">
    <w:name w:val="after"/>
    <w:basedOn w:val="4"/>
    <w:qFormat/>
    <w:uiPriority w:val="0"/>
    <w:rPr>
      <w:bdr w:val="single" w:color="DDDDDD" w:sz="4" w:space="0"/>
      <w:shd w:val="clear" w:fill="FFFFFF"/>
    </w:rPr>
  </w:style>
  <w:style w:type="character" w:customStyle="1" w:styleId="16">
    <w:name w:val="hover12"/>
    <w:basedOn w:val="4"/>
    <w:qFormat/>
    <w:uiPriority w:val="0"/>
    <w:rPr>
      <w:shd w:val="clear" w:fill="929292"/>
    </w:rPr>
  </w:style>
  <w:style w:type="paragraph" w:customStyle="1" w:styleId="17">
    <w:name w:val="ariafocus"/>
    <w:basedOn w:val="1"/>
    <w:qFormat/>
    <w:uiPriority w:val="0"/>
    <w:pPr>
      <w:jc w:val="left"/>
    </w:pPr>
    <w:rPr>
      <w:kern w:val="0"/>
      <w:lang w:val="en-US" w:eastAsia="zh-CN" w:bidi="ar"/>
    </w:rPr>
  </w:style>
  <w:style w:type="character" w:customStyle="1" w:styleId="18">
    <w:name w:val="hover"/>
    <w:basedOn w:val="4"/>
    <w:qFormat/>
    <w:uiPriority w:val="0"/>
    <w:rPr>
      <w:shd w:val="clear" w:fill="929292"/>
    </w:rPr>
  </w:style>
  <w:style w:type="character" w:customStyle="1" w:styleId="19">
    <w:name w:val="ariafocus1"/>
    <w:basedOn w:val="4"/>
    <w:qFormat/>
    <w:uiPriority w:val="0"/>
  </w:style>
  <w:style w:type="character" w:customStyle="1" w:styleId="20">
    <w:name w:val="before"/>
    <w:basedOn w:val="4"/>
    <w:qFormat/>
    <w:uiPriority w:val="0"/>
  </w:style>
  <w:style w:type="character" w:customStyle="1" w:styleId="21">
    <w:name w:val="hover1"/>
    <w:basedOn w:val="4"/>
    <w:qFormat/>
    <w:uiPriority w:val="0"/>
    <w:rPr>
      <w:color w:val="000000"/>
      <w:shd w:val="clear" w:fill="FFFFFF"/>
    </w:rPr>
  </w:style>
  <w:style w:type="character" w:customStyle="1" w:styleId="22">
    <w:name w:val="before1"/>
    <w:basedOn w:val="4"/>
    <w:qFormat/>
    <w:uiPriority w:val="0"/>
  </w:style>
  <w:style w:type="character" w:customStyle="1" w:styleId="23">
    <w:name w:val="hover13"/>
    <w:basedOn w:val="4"/>
    <w:qFormat/>
    <w:uiPriority w:val="0"/>
    <w:rPr>
      <w:shd w:val="clear" w:fill="929292"/>
    </w:rPr>
  </w:style>
  <w:style w:type="character" w:customStyle="1" w:styleId="24">
    <w:name w:val="hover10"/>
    <w:basedOn w:val="4"/>
    <w:qFormat/>
    <w:uiPriority w:val="0"/>
    <w:rPr>
      <w:shd w:val="clear" w:fill="92929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2970</Words>
  <Characters>3021</Characters>
  <Lines>0</Lines>
  <Paragraphs>0</Paragraphs>
  <TotalTime>12</TotalTime>
  <ScaleCrop>false</ScaleCrop>
  <LinksUpToDate>false</LinksUpToDate>
  <CharactersWithSpaces>3061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2022-11-18T02:33:00Z</dcterms:created>
  <dc:creator>Administrator</dc:creator>
  <cp:lastModifiedBy>赵本强</cp:lastModifiedBy>
  <dcterms:modified xsi:type="dcterms:W3CDTF">2023-08-07T06:39:34Z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A8B93CB445524909BECA1409D424F325</vt:lpwstr>
  </property>
</Properties>
</file>