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line="600" w:lineRule="exact"/>
        <w:ind w:left="0" w:right="0"/>
        <w:jc w:val="center"/>
        <w:rPr>
          <w:rFonts w:hint="eastAsia" w:ascii="黑体" w:hAnsi="宋体" w:eastAsia="黑体" w:cs="黑体"/>
          <w:kern w:val="2"/>
          <w:sz w:val="44"/>
          <w:szCs w:val="36"/>
          <w:lang w:val="en-US" w:eastAsia="zh-CN" w:bidi="ar"/>
        </w:rPr>
      </w:pPr>
      <w:r>
        <w:rPr>
          <w:rFonts w:hint="eastAsia" w:ascii="黑体" w:hAnsi="宋体" w:eastAsia="黑体" w:cs="黑体"/>
          <w:kern w:val="2"/>
          <w:sz w:val="44"/>
          <w:szCs w:val="36"/>
          <w:lang w:val="en-US" w:eastAsia="zh-CN" w:bidi="ar"/>
        </w:rPr>
        <w:t>赣州市南康区隆木乡人民政府</w:t>
      </w:r>
    </w:p>
    <w:p>
      <w:pPr>
        <w:keepNext w:val="0"/>
        <w:keepLines w:val="0"/>
        <w:widowControl w:val="0"/>
        <w:suppressLineNumbers w:val="0"/>
        <w:spacing w:before="0" w:beforeAutospacing="0" w:after="0" w:afterAutospacing="0" w:line="600" w:lineRule="exact"/>
        <w:ind w:left="0" w:right="0"/>
        <w:jc w:val="center"/>
        <w:rPr>
          <w:rFonts w:hint="eastAsia" w:ascii="黑体" w:hAnsi="Times New Roman" w:eastAsia="黑体" w:cs="黑体"/>
          <w:color w:val="FF0000"/>
          <w:sz w:val="44"/>
          <w:szCs w:val="36"/>
          <w:lang w:val="en-US"/>
        </w:rPr>
      </w:pPr>
      <w:r>
        <w:rPr>
          <w:rFonts w:hint="eastAsia" w:ascii="黑体" w:hAnsi="Times New Roman" w:eastAsia="黑体" w:cs="黑体"/>
          <w:kern w:val="2"/>
          <w:sz w:val="44"/>
          <w:szCs w:val="36"/>
          <w:lang w:val="en-US" w:eastAsia="zh-CN" w:bidi="ar"/>
        </w:rPr>
        <w:t>2021年度部门决算</w:t>
      </w:r>
    </w:p>
    <w:p>
      <w:pPr>
        <w:keepNext w:val="0"/>
        <w:keepLines w:val="0"/>
        <w:widowControl w:val="0"/>
        <w:suppressLineNumbers w:val="0"/>
        <w:spacing w:before="0" w:beforeAutospacing="0" w:after="0" w:afterAutospacing="0" w:line="600" w:lineRule="exact"/>
        <w:ind w:left="0" w:right="0"/>
        <w:jc w:val="center"/>
        <w:rPr>
          <w:rFonts w:hint="eastAsia" w:ascii="黑体" w:hAnsi="Times New Roman" w:eastAsia="黑体" w:cs="黑体"/>
          <w:sz w:val="44"/>
          <w:szCs w:val="36"/>
          <w:lang w:val="en-US"/>
        </w:rPr>
      </w:pPr>
    </w:p>
    <w:p>
      <w:pPr>
        <w:keepNext w:val="0"/>
        <w:keepLines w:val="0"/>
        <w:widowControl w:val="0"/>
        <w:suppressLineNumbers w:val="0"/>
        <w:spacing w:before="0" w:beforeAutospacing="0" w:after="0" w:afterAutospacing="0" w:line="600" w:lineRule="exact"/>
        <w:ind w:left="0" w:right="0"/>
        <w:jc w:val="center"/>
        <w:rPr>
          <w:rFonts w:hint="eastAsia" w:ascii="黑体" w:hAnsi="Times New Roman" w:eastAsia="黑体" w:cs="黑体"/>
          <w:sz w:val="40"/>
          <w:szCs w:val="36"/>
          <w:lang w:val="en-US"/>
        </w:rPr>
      </w:pPr>
      <w:r>
        <w:rPr>
          <w:rFonts w:hint="eastAsia" w:ascii="黑体" w:hAnsi="Times New Roman" w:eastAsia="黑体" w:cs="黑体"/>
          <w:kern w:val="2"/>
          <w:sz w:val="40"/>
          <w:szCs w:val="36"/>
          <w:lang w:val="en-US" w:eastAsia="zh-CN" w:bidi="ar"/>
        </w:rPr>
        <w:t xml:space="preserve">目    录  </w:t>
      </w:r>
    </w:p>
    <w:p>
      <w:pPr>
        <w:keepNext w:val="0"/>
        <w:keepLines w:val="0"/>
        <w:widowControl/>
        <w:suppressLineNumbers w:val="0"/>
        <w:spacing w:before="0" w:beforeAutospacing="0" w:after="0" w:afterAutospacing="0" w:line="600" w:lineRule="exact"/>
        <w:ind w:left="0" w:right="0" w:firstLine="640"/>
        <w:jc w:val="left"/>
        <w:rPr>
          <w:rFonts w:hint="eastAsia" w:ascii="仿宋_GB2312" w:eastAsia="仿宋_GB2312" w:cs="仿宋_GB2312"/>
          <w:sz w:val="32"/>
          <w:szCs w:val="30"/>
          <w:lang w:val="en-US"/>
        </w:rPr>
      </w:pPr>
    </w:p>
    <w:p>
      <w:pPr>
        <w:keepNext w:val="0"/>
        <w:keepLines w:val="0"/>
        <w:widowControl/>
        <w:suppressLineNumbers w:val="0"/>
        <w:spacing w:before="0" w:beforeAutospacing="0" w:after="0" w:afterAutospacing="0" w:line="600" w:lineRule="exact"/>
        <w:ind w:left="0" w:right="0" w:firstLine="640"/>
        <w:jc w:val="left"/>
        <w:rPr>
          <w:rFonts w:hint="eastAsia" w:ascii="黑体" w:hAnsi="宋体" w:eastAsia="黑体" w:cs="黑体"/>
          <w:b/>
          <w:bCs w:val="0"/>
          <w:sz w:val="32"/>
          <w:szCs w:val="32"/>
          <w:lang w:val="en-US"/>
        </w:rPr>
      </w:pPr>
      <w:r>
        <w:rPr>
          <w:rFonts w:hint="eastAsia" w:ascii="黑体" w:hAnsi="宋体" w:eastAsia="黑体" w:cs="黑体"/>
          <w:b/>
          <w:bCs w:val="0"/>
          <w:kern w:val="2"/>
          <w:sz w:val="32"/>
          <w:szCs w:val="32"/>
          <w:lang w:val="en-US" w:eastAsia="zh-CN" w:bidi="ar"/>
        </w:rPr>
        <w:t xml:space="preserve">第一部分  </w:t>
      </w:r>
      <w:r>
        <w:rPr>
          <w:rFonts w:hint="eastAsia" w:ascii="黑体" w:hAnsi="宋体" w:eastAsia="黑体" w:cs="黑体"/>
          <w:kern w:val="2"/>
          <w:sz w:val="32"/>
          <w:szCs w:val="32"/>
          <w:lang w:val="en-US" w:eastAsia="zh-CN" w:bidi="ar"/>
        </w:rPr>
        <w:t>赣州市南康区隆木乡人民政府部门</w:t>
      </w:r>
      <w:r>
        <w:rPr>
          <w:rFonts w:hint="eastAsia" w:ascii="黑体" w:hAnsi="宋体" w:eastAsia="黑体" w:cs="黑体"/>
          <w:b w:val="0"/>
          <w:bCs/>
          <w:kern w:val="2"/>
          <w:sz w:val="32"/>
          <w:szCs w:val="32"/>
          <w:lang w:val="en-US" w:eastAsia="zh-CN" w:bidi="ar"/>
        </w:rPr>
        <w:t>概况</w:t>
      </w:r>
    </w:p>
    <w:p>
      <w:pPr>
        <w:keepNext w:val="0"/>
        <w:keepLines w:val="0"/>
        <w:widowControl/>
        <w:suppressLineNumbers w:val="0"/>
        <w:spacing w:before="0" w:beforeAutospacing="0" w:after="0" w:afterAutospacing="0" w:line="600" w:lineRule="exact"/>
        <w:ind w:left="0" w:right="0" w:firstLine="640"/>
        <w:jc w:val="left"/>
        <w:rPr>
          <w:rFonts w:hint="eastAsia" w:ascii="仿宋" w:hAnsi="仿宋" w:eastAsia="仿宋" w:cs="仿宋"/>
          <w:sz w:val="32"/>
          <w:szCs w:val="30"/>
          <w:lang w:val="en-US"/>
        </w:rPr>
      </w:pPr>
      <w:r>
        <w:rPr>
          <w:rFonts w:hint="eastAsia" w:ascii="仿宋_GB2312" w:hAnsi="Times New Roman" w:eastAsia="仿宋_GB2312" w:cs="仿宋_GB2312"/>
          <w:b/>
          <w:bCs w:val="0"/>
          <w:kern w:val="2"/>
          <w:sz w:val="32"/>
          <w:szCs w:val="30"/>
          <w:lang w:val="en-US" w:eastAsia="zh-CN" w:bidi="ar"/>
        </w:rPr>
        <w:t xml:space="preserve">    </w:t>
      </w:r>
      <w:r>
        <w:rPr>
          <w:rFonts w:hint="eastAsia" w:ascii="仿宋" w:hAnsi="仿宋" w:eastAsia="仿宋" w:cs="仿宋"/>
          <w:kern w:val="2"/>
          <w:sz w:val="32"/>
          <w:szCs w:val="30"/>
          <w:lang w:val="en-US" w:eastAsia="zh-CN" w:bidi="ar"/>
        </w:rPr>
        <w:t>一、部门主要职责</w:t>
      </w:r>
    </w:p>
    <w:p>
      <w:pPr>
        <w:keepNext w:val="0"/>
        <w:keepLines w:val="0"/>
        <w:widowControl/>
        <w:suppressLineNumbers w:val="0"/>
        <w:spacing w:before="0" w:beforeAutospacing="0" w:after="0" w:afterAutospacing="0" w:line="600" w:lineRule="exact"/>
        <w:ind w:left="0" w:right="0" w:firstLine="640"/>
        <w:jc w:val="left"/>
        <w:rPr>
          <w:rFonts w:hint="eastAsia" w:ascii="仿宋" w:hAnsi="仿宋" w:eastAsia="仿宋" w:cs="宋体"/>
          <w:kern w:val="0"/>
          <w:sz w:val="32"/>
          <w:szCs w:val="32"/>
          <w:lang w:val="en-US"/>
        </w:rPr>
      </w:pPr>
      <w:r>
        <w:rPr>
          <w:rFonts w:hint="eastAsia" w:ascii="仿宋" w:hAnsi="仿宋" w:eastAsia="仿宋" w:cs="宋体"/>
          <w:kern w:val="0"/>
          <w:sz w:val="32"/>
          <w:szCs w:val="32"/>
          <w:lang w:val="en-US" w:eastAsia="zh-CN" w:bidi="ar"/>
        </w:rPr>
        <w:t xml:space="preserve">    二、部门基本情况</w:t>
      </w:r>
    </w:p>
    <w:p>
      <w:pPr>
        <w:keepNext w:val="0"/>
        <w:keepLines w:val="0"/>
        <w:widowControl/>
        <w:suppressLineNumbers w:val="0"/>
        <w:spacing w:before="0" w:beforeAutospacing="0" w:after="0" w:afterAutospacing="0" w:line="600" w:lineRule="exact"/>
        <w:ind w:left="0" w:right="0" w:firstLine="640"/>
        <w:jc w:val="left"/>
        <w:rPr>
          <w:rFonts w:hint="eastAsia" w:ascii="黑体" w:hAnsi="宋体" w:eastAsia="黑体" w:cs="黑体"/>
          <w:sz w:val="32"/>
          <w:szCs w:val="32"/>
          <w:highlight w:val="none"/>
          <w:lang w:val="en-US"/>
        </w:rPr>
      </w:pPr>
      <w:r>
        <w:rPr>
          <w:rFonts w:hint="eastAsia" w:ascii="黑体" w:hAnsi="宋体" w:eastAsia="黑体" w:cs="黑体"/>
          <w:kern w:val="2"/>
          <w:sz w:val="32"/>
          <w:szCs w:val="32"/>
          <w:highlight w:val="none"/>
          <w:lang w:val="en-US" w:eastAsia="zh-CN" w:bidi="ar"/>
        </w:rPr>
        <w:t>第二部分  2021年度部门决算表</w:t>
      </w:r>
      <w:bookmarkStart w:id="0" w:name="_GoBack"/>
      <w:bookmarkEnd w:id="0"/>
    </w:p>
    <w:p>
      <w:pPr>
        <w:widowControl/>
        <w:spacing w:line="600" w:lineRule="exact"/>
        <w:ind w:firstLine="1280" w:firstLineChars="400"/>
        <w:jc w:val="left"/>
        <w:rPr>
          <w:rFonts w:hint="eastAsia" w:ascii="仿宋_GB2312" w:hAnsi="仿宋_GB2312" w:eastAsia="仿宋_GB2312"/>
          <w:sz w:val="32"/>
          <w:szCs w:val="30"/>
          <w:highlight w:val="none"/>
        </w:rPr>
      </w:pPr>
      <w:r>
        <w:rPr>
          <w:rFonts w:hint="eastAsia" w:ascii="仿宋_GB2312" w:hAnsi="仿宋_GB2312" w:eastAsia="仿宋_GB2312"/>
          <w:sz w:val="32"/>
          <w:szCs w:val="30"/>
          <w:highlight w:val="none"/>
        </w:rPr>
        <w:t>一、收入支出决算总表</w:t>
      </w:r>
    </w:p>
    <w:p>
      <w:pPr>
        <w:widowControl/>
        <w:spacing w:line="600" w:lineRule="exact"/>
        <w:ind w:firstLine="1280" w:firstLineChars="400"/>
        <w:jc w:val="left"/>
        <w:rPr>
          <w:rFonts w:hint="eastAsia" w:ascii="仿宋_GB2312" w:hAnsi="仿宋_GB2312" w:eastAsia="仿宋_GB2312"/>
          <w:sz w:val="32"/>
          <w:szCs w:val="30"/>
          <w:highlight w:val="none"/>
        </w:rPr>
      </w:pPr>
      <w:r>
        <w:rPr>
          <w:rFonts w:hint="eastAsia" w:ascii="仿宋_GB2312" w:hAnsi="仿宋_GB2312" w:eastAsia="仿宋_GB2312"/>
          <w:sz w:val="32"/>
          <w:szCs w:val="30"/>
          <w:highlight w:val="none"/>
        </w:rPr>
        <w:t>二、收入决算表</w:t>
      </w:r>
    </w:p>
    <w:p>
      <w:pPr>
        <w:widowControl/>
        <w:spacing w:line="600" w:lineRule="exact"/>
        <w:ind w:firstLine="640"/>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 xml:space="preserve">    三、支出决算表</w:t>
      </w:r>
    </w:p>
    <w:p>
      <w:pPr>
        <w:widowControl/>
        <w:spacing w:line="600" w:lineRule="exact"/>
        <w:ind w:firstLine="640"/>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 xml:space="preserve">    四、财政拨款收入支出决算总表</w:t>
      </w:r>
    </w:p>
    <w:p>
      <w:pPr>
        <w:widowControl/>
        <w:spacing w:line="600" w:lineRule="exact"/>
        <w:ind w:firstLine="640"/>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 xml:space="preserve">    五、一般公共预算财政拨款支出决算表</w:t>
      </w:r>
    </w:p>
    <w:p>
      <w:pPr>
        <w:widowControl/>
        <w:spacing w:line="600" w:lineRule="exact"/>
        <w:ind w:firstLine="640"/>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 xml:space="preserve">    六、一般公共预算财政拨款基本支出决算表</w:t>
      </w:r>
    </w:p>
    <w:p>
      <w:pPr>
        <w:widowControl/>
        <w:spacing w:line="600" w:lineRule="exact"/>
        <w:ind w:firstLine="640"/>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 xml:space="preserve">    七、一般公共预算财政拨款“三公”经费支出决算</w:t>
      </w:r>
    </w:p>
    <w:p>
      <w:pPr>
        <w:widowControl/>
        <w:spacing w:line="600" w:lineRule="exact"/>
        <w:ind w:firstLine="640"/>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表</w:t>
      </w:r>
    </w:p>
    <w:p>
      <w:pPr>
        <w:widowControl/>
        <w:numPr>
          <w:ilvl w:val="0"/>
          <w:numId w:val="1"/>
        </w:numPr>
        <w:spacing w:line="600" w:lineRule="exact"/>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政府性基金预算财政拨款收入支出决算表</w:t>
      </w:r>
    </w:p>
    <w:p>
      <w:pPr>
        <w:widowControl/>
        <w:numPr>
          <w:ilvl w:val="0"/>
          <w:numId w:val="1"/>
        </w:numPr>
        <w:spacing w:line="600" w:lineRule="exact"/>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国有资本经营预算财政拨款支出决算表</w:t>
      </w:r>
    </w:p>
    <w:p>
      <w:pPr>
        <w:widowControl/>
        <w:spacing w:line="600" w:lineRule="exact"/>
        <w:ind w:firstLine="640"/>
        <w:jc w:val="left"/>
        <w:rPr>
          <w:rFonts w:hint="eastAsia" w:ascii="仿宋_GB2312" w:hAnsi="仿宋_GB2312" w:eastAsia="仿宋_GB2312" w:cs="宋体"/>
          <w:kern w:val="0"/>
          <w:sz w:val="32"/>
          <w:szCs w:val="32"/>
          <w:highlight w:val="none"/>
        </w:rPr>
      </w:pPr>
      <w:r>
        <w:rPr>
          <w:rFonts w:hint="eastAsia" w:ascii="仿宋_GB2312" w:hAnsi="仿宋_GB2312" w:eastAsia="仿宋_GB2312" w:cs="宋体"/>
          <w:kern w:val="0"/>
          <w:sz w:val="32"/>
          <w:szCs w:val="32"/>
          <w:highlight w:val="none"/>
        </w:rPr>
        <w:t xml:space="preserve">    十、国有资产占用情况表</w:t>
      </w:r>
    </w:p>
    <w:p>
      <w:pPr>
        <w:keepNext w:val="0"/>
        <w:keepLines w:val="0"/>
        <w:widowControl/>
        <w:suppressLineNumbers w:val="0"/>
        <w:spacing w:before="0" w:beforeAutospacing="0" w:after="0" w:afterAutospacing="0" w:line="600" w:lineRule="exact"/>
        <w:ind w:left="0" w:right="0"/>
        <w:jc w:val="left"/>
        <w:rPr>
          <w:rFonts w:hint="eastAsia" w:ascii="黑体" w:hAnsi="宋体" w:eastAsia="黑体" w:cs="黑体"/>
          <w:sz w:val="32"/>
          <w:szCs w:val="32"/>
          <w:lang w:val="en-US"/>
        </w:rPr>
      </w:pPr>
      <w:r>
        <w:rPr>
          <w:rFonts w:hint="eastAsia" w:ascii="仿宋" w:hAnsi="仿宋" w:eastAsia="仿宋" w:cs="宋体"/>
          <w:kern w:val="0"/>
          <w:sz w:val="32"/>
          <w:szCs w:val="32"/>
          <w:lang w:val="en-US" w:eastAsia="zh-CN" w:bidi="ar"/>
        </w:rPr>
        <w:t xml:space="preserve">    </w:t>
      </w:r>
      <w:r>
        <w:rPr>
          <w:rFonts w:hint="eastAsia" w:ascii="黑体" w:hAnsi="宋体" w:eastAsia="黑体" w:cs="黑体"/>
          <w:kern w:val="2"/>
          <w:sz w:val="32"/>
          <w:szCs w:val="32"/>
          <w:lang w:val="en-US" w:eastAsia="zh-CN" w:bidi="ar"/>
        </w:rPr>
        <w:t>第三部分  2021年度部门决算情况说明</w:t>
      </w:r>
    </w:p>
    <w:p>
      <w:pPr>
        <w:keepNext w:val="0"/>
        <w:keepLines w:val="0"/>
        <w:widowControl/>
        <w:suppressLineNumbers w:val="0"/>
        <w:spacing w:before="0" w:beforeAutospacing="0" w:after="0" w:afterAutospacing="0" w:line="600" w:lineRule="exact"/>
        <w:ind w:left="0" w:right="0" w:firstLine="1280" w:firstLineChars="40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一、收入决算情况说明</w:t>
      </w:r>
    </w:p>
    <w:p>
      <w:pPr>
        <w:keepNext w:val="0"/>
        <w:keepLines w:val="0"/>
        <w:widowControl/>
        <w:suppressLineNumbers w:val="0"/>
        <w:spacing w:before="0" w:beforeAutospacing="0" w:after="0" w:afterAutospacing="0" w:line="600" w:lineRule="exact"/>
        <w:ind w:left="0" w:right="0" w:firstLine="1280" w:firstLineChars="40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二、支出决算情况说明</w:t>
      </w:r>
    </w:p>
    <w:p>
      <w:pPr>
        <w:keepNext w:val="0"/>
        <w:keepLines w:val="0"/>
        <w:widowControl/>
        <w:suppressLineNumbers w:val="0"/>
        <w:spacing w:before="0" w:beforeAutospacing="0" w:after="0" w:afterAutospacing="0" w:line="600" w:lineRule="exact"/>
        <w:ind w:left="0" w:right="0" w:firstLine="1280" w:firstLineChars="40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三、财政拨款支出决算情况说明</w:t>
      </w:r>
    </w:p>
    <w:p>
      <w:pPr>
        <w:keepNext w:val="0"/>
        <w:keepLines w:val="0"/>
        <w:widowControl/>
        <w:suppressLineNumbers w:val="0"/>
        <w:spacing w:before="0" w:beforeAutospacing="0" w:after="0" w:afterAutospacing="0" w:line="600" w:lineRule="exact"/>
        <w:ind w:left="0" w:right="0" w:firstLine="1280" w:firstLineChars="40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四、一般公共预算财政拨款基本支出决算情况说明</w:t>
      </w:r>
    </w:p>
    <w:p>
      <w:pPr>
        <w:keepNext w:val="0"/>
        <w:keepLines w:val="0"/>
        <w:widowControl/>
        <w:suppressLineNumbers w:val="0"/>
        <w:spacing w:before="0" w:beforeAutospacing="0" w:after="0" w:afterAutospacing="0" w:line="600" w:lineRule="exact"/>
        <w:ind w:left="0" w:right="0" w:firstLine="1280" w:firstLineChars="40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五、一般公共预算财政拨款“三公”经费支出决算</w:t>
      </w:r>
    </w:p>
    <w:p>
      <w:pPr>
        <w:keepNext w:val="0"/>
        <w:keepLines w:val="0"/>
        <w:widowControl/>
        <w:suppressLineNumbers w:val="0"/>
        <w:spacing w:before="0" w:beforeAutospacing="0" w:after="0" w:afterAutospacing="0" w:line="600" w:lineRule="exact"/>
        <w:ind w:left="0" w:right="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 xml:space="preserve">    情况说明</w:t>
      </w:r>
    </w:p>
    <w:p>
      <w:pPr>
        <w:keepNext w:val="0"/>
        <w:keepLines w:val="0"/>
        <w:widowControl/>
        <w:suppressLineNumbers w:val="0"/>
        <w:spacing w:before="0" w:beforeAutospacing="0" w:after="0" w:afterAutospacing="0" w:line="600" w:lineRule="exact"/>
        <w:ind w:left="0" w:right="0" w:firstLine="1280" w:firstLineChars="40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六、机关运行经费支出情况说明</w:t>
      </w:r>
    </w:p>
    <w:p>
      <w:pPr>
        <w:keepNext w:val="0"/>
        <w:keepLines w:val="0"/>
        <w:widowControl/>
        <w:suppressLineNumbers w:val="0"/>
        <w:spacing w:before="0" w:beforeAutospacing="0" w:after="0" w:afterAutospacing="0" w:line="600" w:lineRule="exact"/>
        <w:ind w:left="0" w:right="0" w:firstLine="64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 xml:space="preserve">    七、政府采购支出情况说明</w:t>
      </w:r>
    </w:p>
    <w:p>
      <w:pPr>
        <w:keepNext w:val="0"/>
        <w:keepLines w:val="0"/>
        <w:widowControl/>
        <w:suppressLineNumbers w:val="0"/>
        <w:spacing w:before="0" w:beforeAutospacing="0" w:after="0" w:afterAutospacing="0" w:line="600" w:lineRule="exact"/>
        <w:ind w:left="0" w:right="0" w:firstLine="64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 xml:space="preserve">    八、国有资产占用情况说明</w:t>
      </w:r>
    </w:p>
    <w:p>
      <w:pPr>
        <w:keepNext w:val="0"/>
        <w:keepLines w:val="0"/>
        <w:widowControl/>
        <w:suppressLineNumbers w:val="0"/>
        <w:spacing w:before="0" w:beforeAutospacing="0" w:after="0" w:afterAutospacing="0" w:line="600" w:lineRule="exact"/>
        <w:ind w:left="0" w:right="0" w:firstLine="640"/>
        <w:jc w:val="left"/>
        <w:rPr>
          <w:rFonts w:hint="eastAsia" w:ascii="仿宋" w:hAnsi="仿宋" w:eastAsia="仿宋" w:cs="仿宋"/>
          <w:sz w:val="32"/>
          <w:szCs w:val="30"/>
          <w:lang w:val="en-US"/>
        </w:rPr>
      </w:pPr>
      <w:r>
        <w:rPr>
          <w:rFonts w:hint="eastAsia" w:ascii="仿宋" w:hAnsi="仿宋" w:eastAsia="仿宋" w:cs="仿宋"/>
          <w:kern w:val="2"/>
          <w:sz w:val="32"/>
          <w:szCs w:val="30"/>
          <w:lang w:val="en-US" w:eastAsia="zh-CN" w:bidi="ar"/>
        </w:rPr>
        <w:t xml:space="preserve">    九、预算绩效情况说明</w:t>
      </w:r>
    </w:p>
    <w:p>
      <w:pPr>
        <w:keepNext w:val="0"/>
        <w:keepLines w:val="0"/>
        <w:widowControl/>
        <w:suppressLineNumbers w:val="0"/>
        <w:spacing w:before="0" w:beforeAutospacing="0" w:after="0" w:afterAutospacing="0" w:line="600" w:lineRule="exact"/>
        <w:ind w:left="0" w:right="0" w:firstLine="640"/>
        <w:jc w:val="left"/>
        <w:rPr>
          <w:rFonts w:hint="eastAsia" w:ascii="仿宋" w:hAnsi="仿宋" w:eastAsia="仿宋" w:cs="仿宋"/>
          <w:sz w:val="32"/>
          <w:szCs w:val="30"/>
          <w:lang w:val="en-US"/>
        </w:rPr>
      </w:pPr>
      <w:r>
        <w:rPr>
          <w:rFonts w:hint="eastAsia" w:ascii="黑体" w:hAnsi="宋体" w:eastAsia="黑体" w:cs="黑体"/>
          <w:kern w:val="2"/>
          <w:sz w:val="32"/>
          <w:szCs w:val="32"/>
          <w:lang w:val="en-US" w:eastAsia="zh-CN" w:bidi="ar"/>
        </w:rPr>
        <w:t>第四部分  名词解释</w:t>
      </w: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firstLine="630"/>
        <w:jc w:val="center"/>
        <w:rPr>
          <w:rFonts w:hint="eastAsia" w:ascii="宋体" w:hAnsi="宋体" w:eastAsia="宋体" w:cs="宋体"/>
          <w:b/>
          <w:bCs w:val="0"/>
          <w:sz w:val="36"/>
          <w:szCs w:val="36"/>
          <w:lang w:val="en-US"/>
        </w:rPr>
      </w:pPr>
    </w:p>
    <w:p>
      <w:pPr>
        <w:keepNext w:val="0"/>
        <w:keepLines w:val="0"/>
        <w:widowControl/>
        <w:suppressLineNumbers w:val="0"/>
        <w:spacing w:before="0" w:beforeAutospacing="0" w:after="0" w:afterAutospacing="0" w:line="580" w:lineRule="exact"/>
        <w:ind w:left="0" w:right="0"/>
        <w:jc w:val="center"/>
        <w:rPr>
          <w:rFonts w:hint="eastAsia" w:ascii="宋体" w:hAnsi="宋体" w:eastAsia="宋体" w:cs="宋体"/>
          <w:b/>
          <w:bCs w:val="0"/>
          <w:sz w:val="32"/>
          <w:szCs w:val="30"/>
          <w:lang w:val="en-US"/>
        </w:rPr>
      </w:pPr>
      <w:r>
        <w:rPr>
          <w:rFonts w:hint="eastAsia" w:ascii="宋体" w:hAnsi="宋体" w:eastAsia="宋体" w:cs="宋体"/>
          <w:b/>
          <w:bCs w:val="0"/>
          <w:kern w:val="2"/>
          <w:sz w:val="32"/>
          <w:szCs w:val="30"/>
          <w:lang w:val="en-US" w:eastAsia="zh-CN" w:bidi="ar"/>
        </w:rPr>
        <w:t xml:space="preserve">第一部分  </w:t>
      </w:r>
      <w:r>
        <w:rPr>
          <w:rFonts w:hint="eastAsia" w:ascii="宋体" w:hAnsi="宋体" w:cs="宋体"/>
          <w:b/>
          <w:bCs w:val="0"/>
          <w:kern w:val="2"/>
          <w:sz w:val="32"/>
          <w:szCs w:val="32"/>
          <w:lang w:val="en-US" w:eastAsia="zh-CN" w:bidi="ar"/>
        </w:rPr>
        <w:t>赣州市南康区隆木乡人民政府</w:t>
      </w:r>
      <w:r>
        <w:rPr>
          <w:rFonts w:hint="eastAsia" w:ascii="宋体" w:hAnsi="宋体" w:eastAsia="宋体" w:cs="宋体"/>
          <w:b/>
          <w:bCs w:val="0"/>
          <w:kern w:val="2"/>
          <w:sz w:val="32"/>
          <w:szCs w:val="30"/>
          <w:lang w:val="en-US" w:eastAsia="zh-CN" w:bidi="ar"/>
        </w:rPr>
        <w:t>概况</w:t>
      </w:r>
    </w:p>
    <w:p>
      <w:pPr>
        <w:keepNext w:val="0"/>
        <w:keepLines w:val="0"/>
        <w:widowControl w:val="0"/>
        <w:suppressLineNumbers w:val="0"/>
        <w:spacing w:before="0" w:beforeAutospacing="0" w:after="0" w:afterAutospacing="0"/>
        <w:ind w:left="0" w:right="0" w:firstLine="630"/>
        <w:jc w:val="center"/>
        <w:rPr>
          <w:sz w:val="32"/>
          <w:szCs w:val="32"/>
          <w:lang w:val="en-US"/>
        </w:rPr>
      </w:pPr>
    </w:p>
    <w:p>
      <w:pPr>
        <w:keepNext w:val="0"/>
        <w:keepLines w:val="0"/>
        <w:widowControl w:val="0"/>
        <w:suppressLineNumbers w:val="0"/>
        <w:spacing w:before="0" w:beforeAutospacing="0" w:after="0" w:afterAutospacing="0"/>
        <w:ind w:left="0" w:right="0" w:firstLine="630"/>
        <w:jc w:val="left"/>
        <w:rPr>
          <w:rFonts w:hint="eastAsia" w:ascii="黑体" w:hAnsi="宋体" w:eastAsia="黑体" w:cs="黑体"/>
          <w:sz w:val="30"/>
          <w:szCs w:val="30"/>
          <w:lang w:val="en-US"/>
        </w:rPr>
      </w:pPr>
      <w:r>
        <w:rPr>
          <w:rFonts w:hint="eastAsia" w:ascii="黑体" w:hAnsi="宋体" w:eastAsia="黑体" w:cs="黑体"/>
          <w:kern w:val="2"/>
          <w:sz w:val="30"/>
          <w:szCs w:val="30"/>
          <w:lang w:val="en-US" w:eastAsia="zh-CN" w:bidi="ar"/>
        </w:rPr>
        <w:t>一、部门主要职能</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赣州市南康区隆木乡人民政府是主管隆木乡全面工作的区政府（区委）下设政府机构，主要职责是：落实国家政策，严格依法行政，发挥经济管理职能，加强政策引导，制定发展规划，服务市场主体和营造发展环境，搞好市场监管，大力促进社会事业发展，发展乡村经济、文化和社会事业，提供公共服务，维护社会稳定，构建社会主义和谐社会。</w:t>
      </w:r>
    </w:p>
    <w:p>
      <w:pPr>
        <w:keepNext w:val="0"/>
        <w:keepLines w:val="0"/>
        <w:widowControl w:val="0"/>
        <w:suppressLineNumbers w:val="0"/>
        <w:spacing w:before="0" w:beforeAutospacing="0" w:after="0" w:afterAutospacing="0"/>
        <w:ind w:left="0" w:right="0" w:firstLine="630"/>
        <w:jc w:val="left"/>
        <w:rPr>
          <w:rFonts w:hint="eastAsia" w:ascii="黑体" w:hAnsi="宋体" w:eastAsia="黑体" w:cs="黑体"/>
          <w:sz w:val="30"/>
          <w:szCs w:val="30"/>
          <w:lang w:val="en-US"/>
        </w:rPr>
      </w:pPr>
      <w:r>
        <w:rPr>
          <w:rFonts w:hint="eastAsia" w:ascii="黑体" w:hAnsi="宋体" w:eastAsia="黑体" w:cs="黑体"/>
          <w:kern w:val="2"/>
          <w:sz w:val="30"/>
          <w:szCs w:val="30"/>
          <w:lang w:val="en-US" w:eastAsia="zh-CN" w:bidi="ar"/>
        </w:rPr>
        <w:t>二、部门基本情况</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纳入本套部门决算汇编范围的单位共1个，包括：赣州市南康区隆木乡人民政府。</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本部门2021年年末编制人数52人，其中行政编制22人，事业编制30人；年末实有人数45人，其中在职人员45人，离休人员0人，退休人员11人，遗属8人；年末学生人数0人。</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p>
    <w:p>
      <w:pPr>
        <w:keepNext w:val="0"/>
        <w:keepLines w:val="0"/>
        <w:widowControl/>
        <w:suppressLineNumbers w:val="0"/>
        <w:spacing w:before="0" w:beforeAutospacing="0" w:after="0" w:afterAutospacing="0" w:line="600" w:lineRule="exact"/>
        <w:ind w:left="0" w:right="0" w:firstLine="640"/>
        <w:jc w:val="center"/>
        <w:rPr>
          <w:rFonts w:hint="eastAsia" w:ascii="宋体" w:hAnsi="宋体" w:eastAsia="宋体" w:cs="宋体"/>
          <w:b/>
          <w:bCs w:val="0"/>
          <w:sz w:val="32"/>
          <w:szCs w:val="32"/>
          <w:lang w:val="en-US"/>
        </w:rPr>
      </w:pPr>
    </w:p>
    <w:p>
      <w:pPr>
        <w:keepNext w:val="0"/>
        <w:keepLines w:val="0"/>
        <w:widowControl/>
        <w:suppressLineNumbers w:val="0"/>
        <w:spacing w:before="0" w:beforeAutospacing="0" w:after="0" w:afterAutospacing="0" w:line="600" w:lineRule="exact"/>
        <w:ind w:left="0" w:right="0" w:firstLine="640"/>
        <w:jc w:val="center"/>
        <w:rPr>
          <w:rFonts w:hint="eastAsia" w:ascii="宋体" w:hAnsi="宋体" w:eastAsia="宋体" w:cs="宋体"/>
          <w:b/>
          <w:bCs w:val="0"/>
          <w:sz w:val="32"/>
          <w:szCs w:val="32"/>
          <w:lang w:val="en-US"/>
        </w:rPr>
      </w:pPr>
    </w:p>
    <w:p>
      <w:pPr>
        <w:keepNext w:val="0"/>
        <w:keepLines w:val="0"/>
        <w:widowControl/>
        <w:suppressLineNumbers w:val="0"/>
        <w:spacing w:before="0" w:beforeAutospacing="0" w:after="0" w:afterAutospacing="0" w:line="600" w:lineRule="exact"/>
        <w:ind w:left="0" w:right="0" w:firstLine="640"/>
        <w:jc w:val="center"/>
        <w:rPr>
          <w:rFonts w:hint="eastAsia" w:ascii="宋体" w:hAnsi="宋体" w:eastAsia="宋体" w:cs="宋体"/>
          <w:b/>
          <w:bCs w:val="0"/>
          <w:sz w:val="32"/>
          <w:szCs w:val="32"/>
          <w:lang w:val="en-US"/>
        </w:rPr>
      </w:pPr>
    </w:p>
    <w:p>
      <w:pPr>
        <w:keepNext w:val="0"/>
        <w:keepLines w:val="0"/>
        <w:widowControl/>
        <w:suppressLineNumbers w:val="0"/>
        <w:spacing w:before="0" w:beforeAutospacing="0" w:after="0" w:afterAutospacing="0" w:line="600" w:lineRule="exact"/>
        <w:ind w:right="0"/>
        <w:jc w:val="both"/>
        <w:rPr>
          <w:rFonts w:hint="eastAsia" w:ascii="宋体" w:hAnsi="宋体" w:eastAsia="宋体" w:cs="宋体"/>
          <w:b/>
          <w:bCs w:val="0"/>
          <w:kern w:val="2"/>
          <w:sz w:val="32"/>
          <w:szCs w:val="32"/>
          <w:lang w:val="en-US" w:eastAsia="zh-CN" w:bidi="ar"/>
        </w:rPr>
      </w:pPr>
    </w:p>
    <w:p>
      <w:pPr>
        <w:keepNext w:val="0"/>
        <w:keepLines w:val="0"/>
        <w:widowControl/>
        <w:numPr>
          <w:ilvl w:val="0"/>
          <w:numId w:val="2"/>
        </w:numPr>
        <w:suppressLineNumbers w:val="0"/>
        <w:spacing w:before="0" w:beforeAutospacing="0" w:after="0" w:afterAutospacing="0" w:line="600" w:lineRule="exact"/>
        <w:ind w:right="0"/>
        <w:jc w:val="center"/>
        <w:rPr>
          <w:rFonts w:hint="eastAsia" w:ascii="宋体" w:hAnsi="宋体" w:eastAsia="宋体" w:cs="宋体"/>
          <w:b/>
          <w:bCs w:val="0"/>
          <w:kern w:val="2"/>
          <w:sz w:val="32"/>
          <w:szCs w:val="32"/>
          <w:lang w:val="en-US" w:eastAsia="zh-CN" w:bidi="ar"/>
        </w:rPr>
      </w:pPr>
      <w:r>
        <w:rPr>
          <w:rFonts w:hint="eastAsia" w:ascii="宋体" w:hAnsi="宋体" w:eastAsia="宋体" w:cs="宋体"/>
          <w:b/>
          <w:bCs w:val="0"/>
          <w:kern w:val="2"/>
          <w:sz w:val="32"/>
          <w:szCs w:val="32"/>
          <w:lang w:val="en-US" w:eastAsia="zh-CN" w:bidi="ar"/>
        </w:rPr>
        <w:t xml:space="preserve"> </w:t>
      </w:r>
      <w:r>
        <w:rPr>
          <w:rFonts w:hint="eastAsia" w:ascii="宋体" w:hAnsi="宋体" w:cs="宋体"/>
          <w:b/>
          <w:bCs w:val="0"/>
          <w:kern w:val="2"/>
          <w:sz w:val="32"/>
          <w:szCs w:val="32"/>
          <w:lang w:val="en-US" w:eastAsia="zh-CN" w:bidi="ar"/>
        </w:rPr>
        <w:t>2021年</w:t>
      </w:r>
      <w:r>
        <w:rPr>
          <w:rFonts w:hint="eastAsia" w:ascii="宋体" w:hAnsi="宋体" w:eastAsia="宋体" w:cs="宋体"/>
          <w:b/>
          <w:bCs w:val="0"/>
          <w:kern w:val="2"/>
          <w:sz w:val="32"/>
          <w:szCs w:val="32"/>
          <w:lang w:val="en-US" w:eastAsia="zh-CN" w:bidi="ar"/>
        </w:rPr>
        <w:t>度部门决算表</w:t>
      </w:r>
    </w:p>
    <w:p>
      <w:pPr>
        <w:keepNext w:val="0"/>
        <w:keepLines w:val="0"/>
        <w:widowControl/>
        <w:numPr>
          <w:ilvl w:val="0"/>
          <w:numId w:val="0"/>
        </w:numPr>
        <w:suppressLineNumbers w:val="0"/>
        <w:spacing w:before="0" w:beforeAutospacing="0" w:after="0" w:afterAutospacing="0" w:line="600" w:lineRule="exact"/>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sectPr>
          <w:headerReference r:id="rId3" w:type="default"/>
          <w:footerReference r:id="rId4" w:type="default"/>
          <w:pgSz w:w="11906" w:h="16838"/>
          <w:pgMar w:top="1440" w:right="1800" w:bottom="1440" w:left="1800" w:header="851" w:footer="992" w:gutter="0"/>
          <w:cols w:space="720" w:num="1"/>
          <w:docGrid w:type="lines" w:linePitch="312" w:charSpace="0"/>
        </w:sectPr>
      </w:pPr>
      <w:r>
        <w:rPr>
          <w:rFonts w:hint="eastAsia" w:ascii="宋体" w:hAnsi="宋体" w:eastAsia="宋体" w:cs="宋体"/>
          <w:b/>
          <w:bCs w:val="0"/>
          <w:kern w:val="2"/>
          <w:sz w:val="32"/>
          <w:szCs w:val="32"/>
          <w:lang w:val="en-US" w:eastAsia="zh-CN" w:bidi="ar"/>
        </w:rPr>
        <w:drawing>
          <wp:inline distT="0" distB="0" distL="114300" distR="114300">
            <wp:extent cx="5273040" cy="5299075"/>
            <wp:effectExtent l="0" t="0" r="3810" b="15875"/>
            <wp:docPr id="1" name="图片 1" descr="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收入支出决算总表"/>
                    <pic:cNvPicPr>
                      <a:picLocks noChangeAspect="1"/>
                    </pic:cNvPicPr>
                  </pic:nvPicPr>
                  <pic:blipFill>
                    <a:blip r:embed="rId6"/>
                    <a:stretch>
                      <a:fillRect/>
                    </a:stretch>
                  </pic:blipFill>
                  <pic:spPr>
                    <a:xfrm>
                      <a:off x="0" y="0"/>
                      <a:ext cx="5273040" cy="5299075"/>
                    </a:xfrm>
                    <a:prstGeom prst="rect">
                      <a:avLst/>
                    </a:prstGeom>
                  </pic:spPr>
                </pic:pic>
              </a:graphicData>
            </a:graphic>
          </wp:inline>
        </w:drawing>
      </w: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eastAsia="宋体"/>
          <w:szCs w:val="30"/>
          <w:lang w:val="en-US" w:eastAsia="zh-CN"/>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eastAsia="宋体"/>
          <w:szCs w:val="30"/>
          <w:lang w:val="en-US" w:eastAsia="zh-CN"/>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eastAsia="宋体"/>
          <w:szCs w:val="30"/>
          <w:lang w:val="en-US" w:eastAsia="zh-CN"/>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eastAsia="宋体"/>
          <w:szCs w:val="30"/>
          <w:lang w:val="en-US" w:eastAsia="zh-CN"/>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r>
        <w:rPr>
          <w:rFonts w:hint="eastAsia" w:eastAsia="宋体"/>
          <w:szCs w:val="30"/>
          <w:lang w:val="en-US" w:eastAsia="zh-CN"/>
        </w:rPr>
        <w:drawing>
          <wp:inline distT="0" distB="0" distL="114300" distR="114300">
            <wp:extent cx="5890895" cy="5669280"/>
            <wp:effectExtent l="0" t="0" r="14605" b="7620"/>
            <wp:docPr id="5" name="图片 5" descr="收入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收入决算表"/>
                    <pic:cNvPicPr>
                      <a:picLocks noChangeAspect="1"/>
                    </pic:cNvPicPr>
                  </pic:nvPicPr>
                  <pic:blipFill>
                    <a:blip r:embed="rId7"/>
                    <a:stretch>
                      <a:fillRect/>
                    </a:stretch>
                  </pic:blipFill>
                  <pic:spPr>
                    <a:xfrm>
                      <a:off x="0" y="0"/>
                      <a:ext cx="5890895" cy="5669280"/>
                    </a:xfrm>
                    <a:prstGeom prst="rect">
                      <a:avLst/>
                    </a:prstGeom>
                  </pic:spPr>
                </pic:pic>
              </a:graphicData>
            </a:graphic>
          </wp:inline>
        </w:drawing>
      </w: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p>
    <w:p>
      <w:pPr>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bCs w:val="0"/>
          <w:kern w:val="2"/>
          <w:sz w:val="32"/>
          <w:szCs w:val="32"/>
          <w:lang w:val="en-US" w:eastAsia="zh-CN" w:bidi="ar"/>
        </w:rPr>
      </w:pPr>
      <w:r>
        <w:rPr>
          <w:rFonts w:hint="eastAsia" w:ascii="宋体" w:hAnsi="宋体" w:eastAsia="宋体" w:cs="宋体"/>
          <w:b/>
          <w:bCs w:val="0"/>
          <w:kern w:val="2"/>
          <w:sz w:val="32"/>
          <w:szCs w:val="32"/>
          <w:lang w:val="en-US" w:eastAsia="zh-CN" w:bidi="ar"/>
        </w:rPr>
        <w:drawing>
          <wp:inline distT="0" distB="0" distL="114300" distR="114300">
            <wp:extent cx="5647055" cy="7005320"/>
            <wp:effectExtent l="0" t="0" r="10795" b="5080"/>
            <wp:docPr id="4" name="图片 4" descr="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支出决算表"/>
                    <pic:cNvPicPr>
                      <a:picLocks noChangeAspect="1"/>
                    </pic:cNvPicPr>
                  </pic:nvPicPr>
                  <pic:blipFill>
                    <a:blip r:embed="rId8"/>
                    <a:stretch>
                      <a:fillRect/>
                    </a:stretch>
                  </pic:blipFill>
                  <pic:spPr>
                    <a:xfrm>
                      <a:off x="0" y="0"/>
                      <a:ext cx="5647055" cy="7005320"/>
                    </a:xfrm>
                    <a:prstGeom prst="rect">
                      <a:avLst/>
                    </a:prstGeom>
                  </pic:spPr>
                </pic:pic>
              </a:graphicData>
            </a:graphic>
          </wp:inline>
        </w:drawing>
      </w:r>
    </w:p>
    <w:p>
      <w:pPr>
        <w:rPr>
          <w:rFonts w:hint="eastAsia" w:eastAsia="宋体"/>
          <w:szCs w:val="30"/>
          <w:lang w:val="en-US" w:eastAsia="zh-CN"/>
        </w:rPr>
      </w:pPr>
    </w:p>
    <w:p>
      <w:pPr>
        <w:rPr>
          <w:rFonts w:hint="eastAsia" w:eastAsia="宋体"/>
          <w:szCs w:val="30"/>
          <w:lang w:val="en-US" w:eastAsia="zh-CN"/>
        </w:rPr>
      </w:pPr>
    </w:p>
    <w:p>
      <w:pPr>
        <w:rPr>
          <w:rFonts w:hint="eastAsia" w:eastAsia="宋体"/>
          <w:szCs w:val="30"/>
          <w:lang w:val="en-US" w:eastAsia="zh-CN"/>
        </w:rPr>
      </w:pPr>
    </w:p>
    <w:p>
      <w:pPr>
        <w:rPr>
          <w:rFonts w:hint="eastAsia" w:eastAsia="宋体"/>
          <w:szCs w:val="30"/>
          <w:lang w:val="en-US" w:eastAsia="zh-CN"/>
        </w:rPr>
      </w:pPr>
    </w:p>
    <w:p>
      <w:pPr>
        <w:rPr>
          <w:rFonts w:hint="eastAsia" w:eastAsia="宋体"/>
          <w:szCs w:val="30"/>
          <w:lang w:val="en-US" w:eastAsia="zh-CN"/>
        </w:rPr>
      </w:pPr>
    </w:p>
    <w:p>
      <w:pPr>
        <w:rPr>
          <w:rFonts w:hint="eastAsia" w:eastAsia="宋体"/>
          <w:szCs w:val="30"/>
          <w:lang w:val="en-US" w:eastAsia="zh-CN"/>
        </w:rPr>
      </w:pPr>
    </w:p>
    <w:p>
      <w:pPr>
        <w:rPr>
          <w:rFonts w:hint="eastAsia" w:eastAsia="宋体"/>
          <w:szCs w:val="30"/>
          <w:lang w:val="en-US" w:eastAsia="zh-CN"/>
        </w:rPr>
      </w:pPr>
    </w:p>
    <w:p>
      <w:pPr>
        <w:rPr>
          <w:rFonts w:hint="eastAsia" w:eastAsia="宋体"/>
          <w:szCs w:val="30"/>
          <w:lang w:val="en-US" w:eastAsia="zh-CN"/>
        </w:rPr>
      </w:pPr>
      <w:r>
        <w:rPr>
          <w:rFonts w:hint="eastAsia" w:eastAsia="宋体"/>
          <w:szCs w:val="30"/>
          <w:lang w:val="en-US" w:eastAsia="zh-CN"/>
        </w:rPr>
        <w:drawing>
          <wp:inline distT="0" distB="0" distL="114300" distR="114300">
            <wp:extent cx="5464810" cy="5356225"/>
            <wp:effectExtent l="0" t="0" r="2540" b="15875"/>
            <wp:docPr id="6" name="图片 6" descr="财政拨款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财政拨款收入支出决算总表"/>
                    <pic:cNvPicPr>
                      <a:picLocks noChangeAspect="1"/>
                    </pic:cNvPicPr>
                  </pic:nvPicPr>
                  <pic:blipFill>
                    <a:blip r:embed="rId9"/>
                    <a:stretch>
                      <a:fillRect/>
                    </a:stretch>
                  </pic:blipFill>
                  <pic:spPr>
                    <a:xfrm>
                      <a:off x="0" y="0"/>
                      <a:ext cx="5464810" cy="5356225"/>
                    </a:xfrm>
                    <a:prstGeom prst="rect">
                      <a:avLst/>
                    </a:prstGeom>
                  </pic:spPr>
                </pic:pic>
              </a:graphicData>
            </a:graphic>
          </wp:inline>
        </w:drawing>
      </w:r>
    </w:p>
    <w:p>
      <w:pPr>
        <w:jc w:val="both"/>
        <w:rPr>
          <w:rFonts w:hint="eastAsia" w:eastAsia="宋体"/>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eastAsia="宋体"/>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eastAsia="宋体"/>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eastAsia="宋体"/>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sectPr>
          <w:pgSz w:w="11906" w:h="16838"/>
          <w:pgMar w:top="1440" w:right="1800" w:bottom="1440" w:left="1800" w:header="851" w:footer="992" w:gutter="0"/>
          <w:cols w:space="720" w:num="1"/>
          <w:docGrid w:type="lines" w:linePitch="312" w:charSpace="0"/>
        </w:sect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_GB2312"/>
          <w:kern w:val="0"/>
          <w:sz w:val="30"/>
          <w:szCs w:val="30"/>
          <w:lang w:val="en-US" w:eastAsia="zh-CN"/>
        </w:rPr>
        <w:drawing>
          <wp:inline distT="0" distB="0" distL="114300" distR="114300">
            <wp:extent cx="5268595" cy="6364605"/>
            <wp:effectExtent l="0" t="0" r="8255" b="17145"/>
            <wp:docPr id="7" name="图片 7" descr="一般公共预算财政拨款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般公共预算财政拨款支出决算表"/>
                    <pic:cNvPicPr>
                      <a:picLocks noChangeAspect="1"/>
                    </pic:cNvPicPr>
                  </pic:nvPicPr>
                  <pic:blipFill>
                    <a:blip r:embed="rId10"/>
                    <a:stretch>
                      <a:fillRect/>
                    </a:stretch>
                  </pic:blipFill>
                  <pic:spPr>
                    <a:xfrm>
                      <a:off x="0" y="0"/>
                      <a:ext cx="5268595" cy="6364605"/>
                    </a:xfrm>
                    <a:prstGeom prst="rect">
                      <a:avLst/>
                    </a:prstGeom>
                  </pic:spPr>
                </pic:pic>
              </a:graphicData>
            </a:graphic>
          </wp:inline>
        </w:drawing>
      </w: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_GB2312"/>
          <w:kern w:val="0"/>
          <w:sz w:val="30"/>
          <w:szCs w:val="30"/>
          <w:lang w:val="en-US" w:eastAsia="zh-CN"/>
        </w:rPr>
        <w:drawing>
          <wp:inline distT="0" distB="0" distL="114300" distR="114300">
            <wp:extent cx="5266690" cy="8178800"/>
            <wp:effectExtent l="0" t="0" r="10160" b="12700"/>
            <wp:docPr id="8" name="图片 8" descr="一般公共预算财政拨款基本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般公共预算财政拨款基本支出决算表"/>
                    <pic:cNvPicPr>
                      <a:picLocks noChangeAspect="1"/>
                    </pic:cNvPicPr>
                  </pic:nvPicPr>
                  <pic:blipFill>
                    <a:blip r:embed="rId11"/>
                    <a:stretch>
                      <a:fillRect/>
                    </a:stretch>
                  </pic:blipFill>
                  <pic:spPr>
                    <a:xfrm>
                      <a:off x="0" y="0"/>
                      <a:ext cx="5266690" cy="8178800"/>
                    </a:xfrm>
                    <a:prstGeom prst="rect">
                      <a:avLst/>
                    </a:prstGeom>
                  </pic:spPr>
                </pic:pic>
              </a:graphicData>
            </a:graphic>
          </wp:inline>
        </w:drawing>
      </w: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pPr>
      <w:r>
        <w:rPr>
          <w:rFonts w:hint="eastAsia" w:ascii="仿宋" w:hAnsi="仿宋" w:eastAsia="仿宋" w:cs="仿宋_GB2312"/>
          <w:kern w:val="0"/>
          <w:sz w:val="30"/>
          <w:szCs w:val="30"/>
          <w:lang w:val="en-US" w:eastAsia="zh-CN"/>
        </w:rPr>
        <w:drawing>
          <wp:inline distT="0" distB="0" distL="114300" distR="114300">
            <wp:extent cx="5273040" cy="4558030"/>
            <wp:effectExtent l="0" t="0" r="3810" b="13970"/>
            <wp:docPr id="9" name="图片 9" descr="一般公共预算财政拨款“三公”经费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般公共预算财政拨款“三公”经费支出决算表"/>
                    <pic:cNvPicPr>
                      <a:picLocks noChangeAspect="1"/>
                    </pic:cNvPicPr>
                  </pic:nvPicPr>
                  <pic:blipFill>
                    <a:blip r:embed="rId12"/>
                    <a:stretch>
                      <a:fillRect/>
                    </a:stretch>
                  </pic:blipFill>
                  <pic:spPr>
                    <a:xfrm>
                      <a:off x="0" y="0"/>
                      <a:ext cx="5273040" cy="4558030"/>
                    </a:xfrm>
                    <a:prstGeom prst="rect">
                      <a:avLst/>
                    </a:prstGeom>
                  </pic:spPr>
                </pic:pic>
              </a:graphicData>
            </a:graphic>
          </wp:inline>
        </w:drawing>
      </w:r>
      <w:r>
        <w:rPr>
          <w:rFonts w:hint="eastAsia" w:ascii="仿宋" w:hAnsi="仿宋" w:eastAsia="仿宋" w:cs="仿宋_GB2312"/>
          <w:kern w:val="0"/>
          <w:sz w:val="30"/>
          <w:szCs w:val="30"/>
          <w:lang w:val="en-US" w:eastAsia="zh-CN"/>
        </w:rPr>
        <w:drawing>
          <wp:inline distT="0" distB="0" distL="114300" distR="114300">
            <wp:extent cx="5266690" cy="1831340"/>
            <wp:effectExtent l="0" t="0" r="10160" b="16510"/>
            <wp:docPr id="10" name="图片 10" descr="政府性基金预算财政拨款收入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政府性基金预算财政拨款收入支出决算表"/>
                    <pic:cNvPicPr>
                      <a:picLocks noChangeAspect="1"/>
                    </pic:cNvPicPr>
                  </pic:nvPicPr>
                  <pic:blipFill>
                    <a:blip r:embed="rId13"/>
                    <a:stretch>
                      <a:fillRect/>
                    </a:stretch>
                  </pic:blipFill>
                  <pic:spPr>
                    <a:xfrm>
                      <a:off x="0" y="0"/>
                      <a:ext cx="5266690" cy="1831340"/>
                    </a:xfrm>
                    <a:prstGeom prst="rect">
                      <a:avLst/>
                    </a:prstGeom>
                  </pic:spPr>
                </pic:pic>
              </a:graphicData>
            </a:graphic>
          </wp:inline>
        </w:drawing>
      </w: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sectPr>
          <w:pgSz w:w="11906" w:h="16838"/>
          <w:pgMar w:top="1440" w:right="1800" w:bottom="1440" w:left="1800" w:header="851" w:footer="992" w:gutter="0"/>
          <w:cols w:space="720" w:num="1"/>
          <w:docGrid w:type="lines" w:linePitch="312" w:charSpace="0"/>
        </w:sect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_GB2312"/>
          <w:kern w:val="0"/>
          <w:sz w:val="30"/>
          <w:szCs w:val="30"/>
          <w:lang w:val="en-US" w:eastAsia="zh-CN"/>
        </w:rPr>
        <w:drawing>
          <wp:inline distT="0" distB="0" distL="114300" distR="114300">
            <wp:extent cx="5272405" cy="2749550"/>
            <wp:effectExtent l="0" t="0" r="4445" b="12700"/>
            <wp:docPr id="11" name="图片 11" descr="国有资本经营预算财政拨款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国有资本经营预算财政拨款支出决算表"/>
                    <pic:cNvPicPr>
                      <a:picLocks noChangeAspect="1"/>
                    </pic:cNvPicPr>
                  </pic:nvPicPr>
                  <pic:blipFill>
                    <a:blip r:embed="rId14"/>
                    <a:stretch>
                      <a:fillRect/>
                    </a:stretch>
                  </pic:blipFill>
                  <pic:spPr>
                    <a:xfrm>
                      <a:off x="0" y="0"/>
                      <a:ext cx="5272405" cy="2749550"/>
                    </a:xfrm>
                    <a:prstGeom prst="rect">
                      <a:avLst/>
                    </a:prstGeom>
                  </pic:spPr>
                </pic:pic>
              </a:graphicData>
            </a:graphic>
          </wp:inline>
        </w:drawing>
      </w:r>
      <w:r>
        <w:rPr>
          <w:rFonts w:hint="eastAsia" w:ascii="仿宋" w:hAnsi="仿宋" w:eastAsia="仿宋" w:cs="仿宋_GB2312"/>
          <w:kern w:val="0"/>
          <w:sz w:val="30"/>
          <w:szCs w:val="30"/>
          <w:lang w:val="en-US" w:eastAsia="zh-CN"/>
        </w:rPr>
        <w:drawing>
          <wp:inline distT="0" distB="0" distL="114300" distR="114300">
            <wp:extent cx="5269230" cy="3002915"/>
            <wp:effectExtent l="0" t="0" r="7620" b="6985"/>
            <wp:docPr id="12" name="图片 12" descr="国有资产占用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国有资产占用情况表"/>
                    <pic:cNvPicPr>
                      <a:picLocks noChangeAspect="1"/>
                    </pic:cNvPicPr>
                  </pic:nvPicPr>
                  <pic:blipFill>
                    <a:blip r:embed="rId15"/>
                    <a:stretch>
                      <a:fillRect/>
                    </a:stretch>
                  </pic:blipFill>
                  <pic:spPr>
                    <a:xfrm>
                      <a:off x="0" y="0"/>
                      <a:ext cx="5269230" cy="3002915"/>
                    </a:xfrm>
                    <a:prstGeom prst="rect">
                      <a:avLst/>
                    </a:prstGeom>
                  </pic:spPr>
                </pic:pic>
              </a:graphicData>
            </a:graphic>
          </wp:inline>
        </w:drawing>
      </w:r>
    </w:p>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val="0"/>
          <w:sz w:val="32"/>
          <w:szCs w:val="32"/>
          <w:lang w:val="en-US"/>
        </w:rPr>
      </w:pPr>
      <w:r>
        <w:rPr>
          <w:rFonts w:hint="eastAsia" w:ascii="宋体" w:hAnsi="宋体" w:eastAsia="宋体" w:cs="宋体"/>
          <w:b/>
          <w:bCs w:val="0"/>
          <w:kern w:val="2"/>
          <w:sz w:val="32"/>
          <w:szCs w:val="32"/>
          <w:lang w:val="en-US" w:eastAsia="zh-CN" w:bidi="ar"/>
        </w:rPr>
        <w:t xml:space="preserve">第三部分  </w:t>
      </w:r>
      <w:r>
        <w:rPr>
          <w:rFonts w:hint="eastAsia" w:ascii="宋体" w:hAnsi="宋体" w:cs="宋体"/>
          <w:b/>
          <w:bCs w:val="0"/>
          <w:kern w:val="2"/>
          <w:sz w:val="32"/>
          <w:szCs w:val="32"/>
          <w:lang w:val="en-US" w:eastAsia="zh-CN" w:bidi="ar"/>
        </w:rPr>
        <w:t>2021年</w:t>
      </w:r>
      <w:r>
        <w:rPr>
          <w:rFonts w:hint="eastAsia" w:ascii="宋体" w:hAnsi="宋体" w:eastAsia="宋体" w:cs="宋体"/>
          <w:b/>
          <w:bCs w:val="0"/>
          <w:kern w:val="2"/>
          <w:sz w:val="32"/>
          <w:szCs w:val="32"/>
          <w:lang w:val="en-US" w:eastAsia="zh-CN" w:bidi="ar"/>
        </w:rPr>
        <w:t>度部门决算情况说明</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p>
    <w:p>
      <w:pPr>
        <w:keepNext w:val="0"/>
        <w:keepLines w:val="0"/>
        <w:widowControl w:val="0"/>
        <w:suppressLineNumbers w:val="0"/>
        <w:spacing w:before="0" w:beforeAutospacing="0" w:after="0" w:afterAutospacing="0"/>
        <w:ind w:left="0" w:right="0" w:firstLine="630"/>
        <w:jc w:val="left"/>
        <w:rPr>
          <w:rFonts w:hint="eastAsia" w:ascii="黑体" w:hAnsi="宋体" w:eastAsia="黑体" w:cs="黑体"/>
          <w:sz w:val="30"/>
          <w:szCs w:val="30"/>
          <w:lang w:val="en-US"/>
        </w:rPr>
      </w:pPr>
      <w:r>
        <w:rPr>
          <w:rFonts w:hint="eastAsia" w:ascii="黑体" w:hAnsi="宋体" w:eastAsia="黑体" w:cs="黑体"/>
          <w:kern w:val="2"/>
          <w:sz w:val="30"/>
          <w:szCs w:val="30"/>
          <w:lang w:val="en-US" w:eastAsia="zh-CN" w:bidi="ar"/>
        </w:rPr>
        <w:t>一、收入决算情况说明</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本部门2021年度收入总计1186.06万元，其中年初结转和结余0万元，较2020年增加67.57万元，上升6.04%；本年收入合计1186.06万元，较2020年增加67.57万元，上升6.04%，主要原因是：2021年财政拨款收入、事业收入等增加。</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本年收入的具体构成为：财政拨款收入1186.06万元，占100%；事业收入0万元，占0%；经营收入0万元，占0%；其他收入0万元，占0%。  </w:t>
      </w:r>
    </w:p>
    <w:p>
      <w:pPr>
        <w:keepNext w:val="0"/>
        <w:keepLines w:val="0"/>
        <w:widowControl w:val="0"/>
        <w:suppressLineNumbers w:val="0"/>
        <w:spacing w:before="0" w:beforeAutospacing="0" w:after="0" w:afterAutospacing="0"/>
        <w:ind w:left="0" w:right="0" w:firstLine="630"/>
        <w:jc w:val="left"/>
        <w:rPr>
          <w:rFonts w:hint="eastAsia" w:ascii="黑体" w:hAnsi="宋体" w:eastAsia="黑体" w:cs="黑体"/>
          <w:sz w:val="30"/>
          <w:szCs w:val="30"/>
          <w:lang w:val="en-US"/>
        </w:rPr>
      </w:pPr>
      <w:r>
        <w:rPr>
          <w:rFonts w:hint="eastAsia" w:ascii="黑体" w:hAnsi="宋体" w:eastAsia="黑体" w:cs="黑体"/>
          <w:kern w:val="2"/>
          <w:sz w:val="30"/>
          <w:szCs w:val="30"/>
          <w:lang w:val="en-US" w:eastAsia="zh-CN" w:bidi="ar"/>
        </w:rPr>
        <w:t>二、支出决算情况说明</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本部门2021年度支出总计1186.06万元，其中本年支出合计1186.06万元，较2020年增加67.57万元，上升6.04%；年末结转和结余0万元，与2020年持平。</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本年支出的具体构成为：基本支出1186.06万元，占100%；项目支出0万元，占0%；经营支出0万元，占0%；其他支出（对附属单位补助支出、上缴上级支出）0万元，占0%。</w:t>
      </w:r>
    </w:p>
    <w:p>
      <w:pPr>
        <w:keepNext w:val="0"/>
        <w:keepLines w:val="0"/>
        <w:widowControl w:val="0"/>
        <w:suppressLineNumbers w:val="0"/>
        <w:spacing w:before="0" w:beforeAutospacing="0" w:after="0" w:afterAutospacing="0"/>
        <w:ind w:left="0" w:right="0" w:firstLine="630"/>
        <w:jc w:val="left"/>
        <w:rPr>
          <w:rFonts w:hint="eastAsia" w:ascii="黑体" w:hAnsi="宋体" w:eastAsia="黑体" w:cs="黑体"/>
          <w:kern w:val="2"/>
          <w:sz w:val="30"/>
          <w:szCs w:val="30"/>
          <w:lang w:val="en-US" w:eastAsia="zh-CN" w:bidi="ar"/>
        </w:rPr>
      </w:pPr>
      <w:r>
        <w:rPr>
          <w:rFonts w:hint="eastAsia" w:ascii="黑体" w:hAnsi="宋体" w:eastAsia="黑体" w:cs="黑体"/>
          <w:kern w:val="2"/>
          <w:sz w:val="30"/>
          <w:szCs w:val="30"/>
          <w:lang w:val="en-US" w:eastAsia="zh-CN" w:bidi="ar"/>
        </w:rPr>
        <w:t>三、财政拨款支出决算情况说明</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本部门2021年度财政拨款本年支出年初预算数为1186.06万元，决算数为1186.06万元，完成年初预算的100%。其中：</w:t>
      </w:r>
    </w:p>
    <w:p>
      <w:pPr>
        <w:keepNext w:val="0"/>
        <w:keepLines w:val="0"/>
        <w:widowControl w:val="0"/>
        <w:suppressLineNumbers w:val="0"/>
        <w:spacing w:before="0" w:beforeAutospacing="0" w:after="0" w:afterAutospacing="0"/>
        <w:ind w:left="0" w:right="0" w:firstLine="630"/>
        <w:jc w:val="left"/>
        <w:rPr>
          <w:rFonts w:hint="eastAsia" w:ascii="仿宋" w:hAnsi="仿宋" w:eastAsia="仿宋_GB2312" w:cs="仿宋"/>
          <w:sz w:val="30"/>
          <w:szCs w:val="30"/>
          <w:highlight w:val="none"/>
          <w:lang w:val="en-US" w:eastAsia="zh-CN"/>
        </w:rPr>
      </w:pPr>
      <w:r>
        <w:rPr>
          <w:rFonts w:hint="eastAsia" w:ascii="仿宋" w:hAnsi="仿宋" w:eastAsia="仿宋" w:cs="仿宋"/>
          <w:kern w:val="2"/>
          <w:sz w:val="30"/>
          <w:szCs w:val="30"/>
          <w:highlight w:val="none"/>
          <w:lang w:val="en-US" w:eastAsia="zh-CN" w:bidi="ar"/>
        </w:rPr>
        <w:t>（一）一般公共服务支出年初预算数为845.97万元，决算数为845.97万元，完成年初预算的100%。</w:t>
      </w:r>
      <w:r>
        <w:rPr>
          <w:rFonts w:hint="eastAsia" w:ascii="仿宋_GB2312" w:hAnsi="仿宋_GB2312" w:eastAsia="仿宋_GB2312"/>
          <w:sz w:val="30"/>
          <w:szCs w:val="30"/>
          <w:highlight w:val="none"/>
        </w:rPr>
        <w:t>主要原因是：</w:t>
      </w:r>
      <w:r>
        <w:rPr>
          <w:rFonts w:hint="eastAsia" w:ascii="仿宋_GB2312" w:hAnsi="仿宋_GB2312" w:eastAsia="仿宋_GB2312"/>
          <w:sz w:val="30"/>
          <w:szCs w:val="30"/>
          <w:highlight w:val="none"/>
          <w:lang w:eastAsia="zh-CN"/>
        </w:rPr>
        <w:t>年初预算数与决算数一致。</w:t>
      </w:r>
    </w:p>
    <w:p>
      <w:pPr>
        <w:keepNext w:val="0"/>
        <w:keepLines w:val="0"/>
        <w:widowControl w:val="0"/>
        <w:suppressLineNumbers w:val="0"/>
        <w:spacing w:before="0" w:beforeAutospacing="0" w:after="0" w:afterAutospacing="0"/>
        <w:ind w:left="0" w:right="0" w:firstLine="630"/>
        <w:jc w:val="left"/>
        <w:rPr>
          <w:rFonts w:hint="eastAsia" w:ascii="仿宋_GB2312" w:hAnsi="仿宋_GB2312" w:eastAsia="仿宋_GB2312"/>
          <w:sz w:val="30"/>
          <w:szCs w:val="30"/>
          <w:highlight w:val="none"/>
        </w:rPr>
      </w:pPr>
      <w:r>
        <w:rPr>
          <w:rFonts w:hint="eastAsia" w:ascii="仿宋" w:hAnsi="仿宋" w:eastAsia="仿宋" w:cs="仿宋"/>
          <w:kern w:val="2"/>
          <w:sz w:val="30"/>
          <w:szCs w:val="30"/>
          <w:highlight w:val="none"/>
          <w:lang w:val="en-US" w:eastAsia="zh-CN" w:bidi="ar"/>
        </w:rPr>
        <w:t>（二）社会保障和就业支出年初预算数为116.23万元，决算数为116.23万元，完成年初预算的100%。</w:t>
      </w:r>
      <w:r>
        <w:rPr>
          <w:rFonts w:hint="eastAsia" w:ascii="仿宋_GB2312" w:hAnsi="仿宋_GB2312" w:eastAsia="仿宋_GB2312"/>
          <w:sz w:val="30"/>
          <w:szCs w:val="30"/>
          <w:highlight w:val="none"/>
        </w:rPr>
        <w:t>主要原因是：</w:t>
      </w:r>
      <w:r>
        <w:rPr>
          <w:rFonts w:hint="eastAsia" w:ascii="仿宋_GB2312" w:hAnsi="仿宋_GB2312" w:eastAsia="仿宋_GB2312"/>
          <w:sz w:val="30"/>
          <w:szCs w:val="30"/>
          <w:highlight w:val="none"/>
          <w:lang w:eastAsia="zh-CN"/>
        </w:rPr>
        <w:t>年初预算数与决算数一致。</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highlight w:val="none"/>
          <w:lang w:val="en-US" w:eastAsia="zh-CN"/>
        </w:rPr>
      </w:pPr>
      <w:r>
        <w:rPr>
          <w:rFonts w:hint="eastAsia" w:ascii="仿宋" w:hAnsi="仿宋" w:eastAsia="仿宋" w:cs="仿宋"/>
          <w:kern w:val="2"/>
          <w:sz w:val="30"/>
          <w:szCs w:val="30"/>
          <w:highlight w:val="none"/>
          <w:lang w:val="en-US" w:eastAsia="zh-CN" w:bidi="ar"/>
        </w:rPr>
        <w:t>（三）卫生健康支出支出年初预算数为21.64万元，决算数为21.64万元，完成年初预算的100%。</w:t>
      </w:r>
      <w:r>
        <w:rPr>
          <w:rFonts w:hint="eastAsia" w:ascii="仿宋_GB2312" w:hAnsi="仿宋_GB2312" w:eastAsia="仿宋_GB2312"/>
          <w:sz w:val="30"/>
          <w:szCs w:val="30"/>
          <w:highlight w:val="none"/>
        </w:rPr>
        <w:t>主要原因是：</w:t>
      </w:r>
      <w:r>
        <w:rPr>
          <w:rFonts w:hint="eastAsia" w:ascii="仿宋_GB2312" w:hAnsi="仿宋_GB2312" w:eastAsia="仿宋_GB2312"/>
          <w:sz w:val="30"/>
          <w:szCs w:val="30"/>
          <w:highlight w:val="none"/>
          <w:lang w:eastAsia="zh-CN"/>
        </w:rPr>
        <w:t>年初预算数与决算数一致。</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kern w:val="2"/>
          <w:sz w:val="30"/>
          <w:szCs w:val="30"/>
          <w:highlight w:val="none"/>
          <w:lang w:val="en-US" w:eastAsia="zh-CN" w:bidi="ar"/>
        </w:rPr>
      </w:pPr>
      <w:r>
        <w:rPr>
          <w:rFonts w:hint="eastAsia" w:ascii="仿宋" w:hAnsi="仿宋" w:eastAsia="仿宋" w:cs="仿宋"/>
          <w:kern w:val="2"/>
          <w:sz w:val="30"/>
          <w:szCs w:val="30"/>
          <w:highlight w:val="none"/>
          <w:lang w:val="en-US" w:eastAsia="zh-CN" w:bidi="ar"/>
        </w:rPr>
        <w:t>（四）农林水支出年初预算数为202.22万元，决算数为202.22万元，完成年初预算的100%。</w:t>
      </w:r>
      <w:r>
        <w:rPr>
          <w:rFonts w:hint="eastAsia" w:ascii="仿宋_GB2312" w:hAnsi="仿宋_GB2312" w:eastAsia="仿宋_GB2312"/>
          <w:sz w:val="30"/>
          <w:szCs w:val="30"/>
          <w:highlight w:val="none"/>
        </w:rPr>
        <w:t>主要原因是：</w:t>
      </w:r>
      <w:r>
        <w:rPr>
          <w:rFonts w:hint="eastAsia" w:ascii="仿宋_GB2312" w:hAnsi="仿宋_GB2312" w:eastAsia="仿宋_GB2312"/>
          <w:sz w:val="30"/>
          <w:szCs w:val="30"/>
          <w:highlight w:val="none"/>
          <w:lang w:eastAsia="zh-CN"/>
        </w:rPr>
        <w:t>年初预算数与决算数一致。</w:t>
      </w:r>
    </w:p>
    <w:p>
      <w:pPr>
        <w:keepNext w:val="0"/>
        <w:keepLines w:val="0"/>
        <w:widowControl w:val="0"/>
        <w:suppressLineNumbers w:val="0"/>
        <w:spacing w:before="0" w:beforeAutospacing="0" w:after="0" w:afterAutospacing="0"/>
        <w:ind w:left="0" w:right="0" w:firstLine="585"/>
        <w:jc w:val="left"/>
        <w:rPr>
          <w:rFonts w:hint="eastAsia" w:ascii="黑体" w:hAnsi="宋体" w:eastAsia="黑体" w:cs="黑体"/>
          <w:sz w:val="30"/>
          <w:szCs w:val="30"/>
          <w:lang w:val="en-US"/>
        </w:rPr>
      </w:pPr>
      <w:r>
        <w:rPr>
          <w:rFonts w:hint="eastAsia" w:ascii="黑体" w:hAnsi="宋体" w:eastAsia="黑体" w:cs="黑体"/>
          <w:kern w:val="2"/>
          <w:sz w:val="30"/>
          <w:szCs w:val="30"/>
          <w:lang w:val="en-US" w:eastAsia="zh-CN" w:bidi="ar"/>
        </w:rPr>
        <w:t>四、一般公共预算财政拨款基本支出决算情况说明</w:t>
      </w:r>
    </w:p>
    <w:p>
      <w:pPr>
        <w:keepNext w:val="0"/>
        <w:keepLines w:val="0"/>
        <w:widowControl w:val="0"/>
        <w:suppressLineNumbers w:val="0"/>
        <w:spacing w:before="0" w:beforeAutospacing="0" w:after="0" w:afterAutospacing="0"/>
        <w:ind w:left="0" w:right="0" w:firstLine="58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本部门2021年度一般公共预算财政拨款基本支出1186.06万元，其中：</w:t>
      </w:r>
    </w:p>
    <w:p>
      <w:pPr>
        <w:keepNext w:val="0"/>
        <w:keepLines w:val="0"/>
        <w:widowControl w:val="0"/>
        <w:suppressLineNumbers w:val="0"/>
        <w:spacing w:before="0" w:beforeAutospacing="0" w:after="0" w:afterAutospacing="0"/>
        <w:ind w:left="0" w:right="0" w:firstLine="58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（一）工资福利支出576.58万元，较2020年增加112.97万元，增加24.36%，主要原因是：</w:t>
      </w:r>
      <w:r>
        <w:rPr>
          <w:rFonts w:hint="eastAsia" w:ascii="仿宋" w:hAnsi="仿宋" w:eastAsia="仿宋"/>
          <w:sz w:val="30"/>
          <w:szCs w:val="30"/>
          <w:lang w:eastAsia="zh-CN"/>
        </w:rPr>
        <w:t>人员增加基础绩效工资</w:t>
      </w:r>
      <w:r>
        <w:rPr>
          <w:rFonts w:hint="eastAsia" w:ascii="仿宋" w:hAnsi="仿宋" w:eastAsia="仿宋" w:cs="仿宋"/>
          <w:kern w:val="2"/>
          <w:sz w:val="30"/>
          <w:szCs w:val="30"/>
          <w:lang w:val="en-US" w:eastAsia="zh-CN" w:bidi="ar"/>
        </w:rPr>
        <w:t>。</w:t>
      </w:r>
    </w:p>
    <w:p>
      <w:pPr>
        <w:keepNext w:val="0"/>
        <w:keepLines w:val="0"/>
        <w:widowControl w:val="0"/>
        <w:suppressLineNumbers w:val="0"/>
        <w:spacing w:before="0" w:beforeAutospacing="0" w:after="0" w:afterAutospacing="0"/>
        <w:ind w:left="0" w:right="0" w:firstLine="58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（二）商品和服务支出384.42万元，408.67较2020年减少24.25万元，下降5.93%，主要原因是：落实过紧日子要求压减日常支出。</w:t>
      </w:r>
    </w:p>
    <w:p>
      <w:pPr>
        <w:keepNext w:val="0"/>
        <w:keepLines w:val="0"/>
        <w:widowControl w:val="0"/>
        <w:suppressLineNumbers w:val="0"/>
        <w:spacing w:before="0" w:beforeAutospacing="0" w:after="0" w:afterAutospacing="0"/>
        <w:ind w:left="0" w:right="0" w:firstLine="58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（三）对个人和家庭补助支出225.06万元，较2020年下级21.15万元，下级8.59%，主要原因是：对个人和家庭补助支出生活补贴项目投入减少。</w:t>
      </w:r>
    </w:p>
    <w:p>
      <w:pPr>
        <w:keepNext w:val="0"/>
        <w:keepLines w:val="0"/>
        <w:widowControl w:val="0"/>
        <w:suppressLineNumbers w:val="0"/>
        <w:spacing w:before="0" w:beforeAutospacing="0" w:after="0" w:afterAutospacing="0"/>
        <w:ind w:left="0" w:right="0" w:firstLine="58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（四）资本性支出0万元，较2020年无变化。</w:t>
      </w:r>
    </w:p>
    <w:p>
      <w:pPr>
        <w:keepNext w:val="0"/>
        <w:keepLines w:val="0"/>
        <w:widowControl w:val="0"/>
        <w:suppressLineNumbers w:val="0"/>
        <w:spacing w:before="0" w:beforeAutospacing="0" w:after="0" w:afterAutospacing="0"/>
        <w:ind w:left="0" w:right="0" w:firstLine="585"/>
        <w:jc w:val="left"/>
        <w:rPr>
          <w:rFonts w:hint="eastAsia" w:ascii="黑体" w:hAnsi="宋体" w:eastAsia="黑体" w:cs="黑体"/>
          <w:sz w:val="30"/>
          <w:szCs w:val="30"/>
          <w:lang w:val="en-US"/>
        </w:rPr>
      </w:pPr>
      <w:r>
        <w:rPr>
          <w:rFonts w:hint="eastAsia" w:ascii="黑体" w:hAnsi="宋体" w:eastAsia="黑体" w:cs="黑体"/>
          <w:kern w:val="2"/>
          <w:sz w:val="30"/>
          <w:szCs w:val="30"/>
          <w:lang w:val="en-US" w:eastAsia="zh-CN" w:bidi="ar"/>
        </w:rPr>
        <w:t>五、一般公共预算财政拨款“三公”经费支出决算情况说明</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本部门2021年度一般公共预算财政拨款“三公”经费支出年初预算数为62.098万元，决算数为25.977072万元，完成预算的41.83%，决算数较2020年减少0.122928万元，下降0.47%，其中：</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（一）因公出国（境）支出年初预算数为0万元，决算数为  0万元，完成预算的0 %，决算数较2020年增加（减少）0万元，增长（下降）0%。主要原因是：未安排因公出国（境）支出。</w:t>
      </w:r>
      <w:r>
        <w:rPr>
          <w:rFonts w:hint="eastAsia" w:ascii="仿宋_GB2312" w:hAnsi="仿宋_GB2312" w:eastAsia="仿宋_GB2312"/>
          <w:sz w:val="30"/>
          <w:szCs w:val="30"/>
        </w:rPr>
        <w:t>决算数较年初预算数增加（减少）的主要原因是：未发生因公出国（境）支出。全年安排因公出国（境）团组 0个，累计</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人0次，主要为：未发生因公出国（境）支出。</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（二）公务接待费支出年初预算数为10.05万元，决算数为9.9803元，完成预算的99.31%，决算数较2020年减少0.0697万元，下降0.69%。主要原因是：履行节约原则，严格执行中央八项规定</w:t>
      </w:r>
      <w:r>
        <w:rPr>
          <w:rFonts w:hint="eastAsia" w:ascii="仿宋" w:hAnsi="仿宋" w:eastAsia="仿宋" w:cs="仿宋"/>
          <w:kern w:val="2"/>
          <w:sz w:val="30"/>
          <w:szCs w:val="30"/>
          <w:highlight w:val="none"/>
          <w:lang w:val="en-US" w:eastAsia="zh-CN" w:bidi="ar"/>
        </w:rPr>
        <w:t>。</w:t>
      </w:r>
      <w:r>
        <w:rPr>
          <w:rFonts w:hint="eastAsia" w:ascii="仿宋_GB2312" w:hAnsi="仿宋_GB2312" w:eastAsia="仿宋_GB2312"/>
          <w:sz w:val="30"/>
          <w:szCs w:val="30"/>
          <w:highlight w:val="none"/>
        </w:rPr>
        <w:t>全年国内公务接待</w:t>
      </w:r>
      <w:r>
        <w:rPr>
          <w:rFonts w:hint="eastAsia" w:ascii="仿宋_GB2312" w:hAnsi="仿宋_GB2312" w:eastAsia="仿宋_GB2312"/>
          <w:sz w:val="30"/>
          <w:szCs w:val="30"/>
          <w:highlight w:val="none"/>
          <w:lang w:val="en-US" w:eastAsia="zh-CN"/>
        </w:rPr>
        <w:t>154</w:t>
      </w:r>
      <w:r>
        <w:rPr>
          <w:rFonts w:hint="eastAsia" w:ascii="仿宋_GB2312" w:hAnsi="仿宋_GB2312" w:eastAsia="仿宋_GB2312"/>
          <w:sz w:val="30"/>
          <w:szCs w:val="30"/>
          <w:highlight w:val="none"/>
        </w:rPr>
        <w:t>批，累计接待</w:t>
      </w:r>
      <w:r>
        <w:rPr>
          <w:rFonts w:hint="eastAsia" w:ascii="仿宋_GB2312" w:hAnsi="仿宋_GB2312" w:eastAsia="仿宋_GB2312"/>
          <w:sz w:val="30"/>
          <w:szCs w:val="30"/>
          <w:highlight w:val="none"/>
          <w:lang w:val="en-US" w:eastAsia="zh-CN"/>
        </w:rPr>
        <w:t>986</w:t>
      </w:r>
      <w:r>
        <w:rPr>
          <w:rFonts w:hint="eastAsia" w:ascii="仿宋_GB2312" w:hAnsi="仿宋_GB2312" w:eastAsia="仿宋_GB2312"/>
          <w:sz w:val="30"/>
          <w:szCs w:val="30"/>
          <w:highlight w:val="none"/>
        </w:rPr>
        <w:t>人次，其中外事接待</w:t>
      </w:r>
      <w:r>
        <w:rPr>
          <w:rFonts w:hint="eastAsia" w:ascii="仿宋_GB2312" w:hAnsi="仿宋_GB2312" w:eastAsia="仿宋_GB2312"/>
          <w:sz w:val="30"/>
          <w:szCs w:val="30"/>
          <w:highlight w:val="none"/>
          <w:lang w:val="en-US" w:eastAsia="zh-CN"/>
        </w:rPr>
        <w:t>0</w:t>
      </w:r>
      <w:r>
        <w:rPr>
          <w:rFonts w:hint="eastAsia" w:ascii="仿宋_GB2312" w:hAnsi="仿宋_GB2312" w:eastAsia="仿宋_GB2312"/>
          <w:sz w:val="30"/>
          <w:szCs w:val="30"/>
          <w:highlight w:val="none"/>
        </w:rPr>
        <w:t>批，累计接待</w:t>
      </w:r>
      <w:r>
        <w:rPr>
          <w:rFonts w:hint="eastAsia" w:ascii="仿宋_GB2312" w:hAnsi="仿宋_GB2312" w:eastAsia="仿宋_GB2312"/>
          <w:sz w:val="30"/>
          <w:szCs w:val="30"/>
          <w:highlight w:val="none"/>
          <w:lang w:val="en-US" w:eastAsia="zh-CN"/>
        </w:rPr>
        <w:t>0</w:t>
      </w:r>
      <w:r>
        <w:rPr>
          <w:rFonts w:hint="eastAsia" w:ascii="仿宋_GB2312" w:hAnsi="仿宋_GB2312" w:eastAsia="仿宋_GB2312"/>
          <w:sz w:val="30"/>
          <w:szCs w:val="30"/>
          <w:highlight w:val="none"/>
        </w:rPr>
        <w:t>人次，主要为：</w:t>
      </w:r>
      <w:r>
        <w:rPr>
          <w:rFonts w:hint="eastAsia" w:ascii="仿宋_GB2312" w:hAnsi="仿宋_GB2312" w:eastAsia="仿宋_GB2312"/>
          <w:sz w:val="30"/>
          <w:szCs w:val="30"/>
        </w:rPr>
        <w:t>上级部门来我乡督导行业部门相关工作</w:t>
      </w:r>
      <w:r>
        <w:rPr>
          <w:rFonts w:hint="eastAsia" w:ascii="仿宋_GB2312" w:hAnsi="仿宋_GB2312" w:eastAsia="仿宋_GB2312"/>
          <w:sz w:val="30"/>
          <w:szCs w:val="30"/>
          <w:lang w:val="en-US" w:eastAsia="zh-CN"/>
        </w:rPr>
        <w:t>等。</w:t>
      </w:r>
    </w:p>
    <w:p>
      <w:pPr>
        <w:ind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（三）公务用车购置及运行维护费支出16.048万元，其中公务用车购置年初预算数为0万元，决算数为0万元，</w:t>
      </w:r>
      <w:r>
        <w:rPr>
          <w:rFonts w:hint="eastAsia" w:ascii="仿宋_GB2312" w:hAnsi="仿宋_GB2312" w:eastAsia="仿宋_GB2312"/>
          <w:sz w:val="30"/>
          <w:szCs w:val="30"/>
        </w:rPr>
        <w:t>全年购置公务用车</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辆，</w:t>
      </w:r>
      <w:r>
        <w:rPr>
          <w:rFonts w:hint="eastAsia" w:ascii="仿宋" w:hAnsi="仿宋" w:eastAsia="仿宋" w:cs="仿宋"/>
          <w:kern w:val="2"/>
          <w:sz w:val="30"/>
          <w:szCs w:val="30"/>
          <w:lang w:val="en-US" w:eastAsia="zh-CN" w:bidi="ar"/>
        </w:rPr>
        <w:t>完成预算的0%，</w:t>
      </w:r>
      <w:r>
        <w:rPr>
          <w:rFonts w:hint="eastAsia" w:ascii="仿宋_GB2312" w:hAnsi="仿宋_GB2312" w:eastAsia="仿宋_GB2312"/>
          <w:sz w:val="30"/>
          <w:szCs w:val="30"/>
          <w:highlight w:val="none"/>
        </w:rPr>
        <w:t xml:space="preserve">决算数较2020年增加（减少）  </w:t>
      </w:r>
      <w:r>
        <w:rPr>
          <w:rFonts w:hint="eastAsia" w:ascii="仿宋_GB2312" w:hAnsi="仿宋_GB2312" w:eastAsia="仿宋_GB2312"/>
          <w:sz w:val="30"/>
          <w:szCs w:val="30"/>
          <w:highlight w:val="none"/>
          <w:lang w:val="en-US" w:eastAsia="zh-CN"/>
        </w:rPr>
        <w:t>0</w:t>
      </w:r>
      <w:r>
        <w:rPr>
          <w:rFonts w:hint="eastAsia" w:ascii="仿宋_GB2312" w:hAnsi="仿宋_GB2312" w:eastAsia="仿宋_GB2312"/>
          <w:sz w:val="30"/>
          <w:szCs w:val="30"/>
          <w:highlight w:val="none"/>
        </w:rPr>
        <w:t>万元，增长（下降）</w:t>
      </w:r>
      <w:r>
        <w:rPr>
          <w:rFonts w:hint="eastAsia" w:ascii="仿宋_GB2312" w:hAnsi="仿宋_GB2312" w:eastAsia="仿宋_GB2312"/>
          <w:sz w:val="30"/>
          <w:szCs w:val="30"/>
          <w:highlight w:val="none"/>
          <w:lang w:val="en-US" w:eastAsia="zh-CN"/>
        </w:rPr>
        <w:t>0</w:t>
      </w:r>
      <w:r>
        <w:rPr>
          <w:rFonts w:hint="eastAsia" w:ascii="仿宋_GB2312" w:hAnsi="仿宋_GB2312" w:eastAsia="仿宋_GB2312"/>
          <w:sz w:val="30"/>
          <w:szCs w:val="30"/>
          <w:highlight w:val="none"/>
        </w:rPr>
        <w:t>%，</w:t>
      </w:r>
      <w:r>
        <w:rPr>
          <w:rFonts w:hint="eastAsia" w:ascii="仿宋" w:hAnsi="仿宋" w:eastAsia="仿宋" w:cs="仿宋"/>
          <w:kern w:val="2"/>
          <w:sz w:val="30"/>
          <w:szCs w:val="30"/>
          <w:highlight w:val="none"/>
          <w:lang w:val="en-US" w:eastAsia="zh-CN" w:bidi="ar"/>
        </w:rPr>
        <w:t>主要原因是：公务用车未购置新车；</w:t>
      </w:r>
      <w:r>
        <w:rPr>
          <w:rFonts w:hint="eastAsia" w:ascii="仿宋_GB2312" w:hAnsi="仿宋_GB2312" w:eastAsia="仿宋_GB2312"/>
          <w:sz w:val="30"/>
          <w:szCs w:val="30"/>
          <w:highlight w:val="none"/>
        </w:rPr>
        <w:t>决算数较年初预算数增加（减少）的主要原因是：</w:t>
      </w:r>
      <w:r>
        <w:rPr>
          <w:rFonts w:hint="eastAsia" w:ascii="仿宋_GB2312" w:hAnsi="仿宋_GB2312" w:eastAsia="仿宋_GB2312"/>
          <w:sz w:val="30"/>
          <w:szCs w:val="30"/>
          <w:highlight w:val="none"/>
          <w:lang w:val="en-US" w:eastAsia="zh-CN"/>
        </w:rPr>
        <w:t>当年未做公务用车购置计划</w:t>
      </w:r>
      <w:r>
        <w:rPr>
          <w:rFonts w:hint="eastAsia" w:ascii="仿宋_GB2312" w:hAnsi="仿宋_GB2312" w:eastAsia="仿宋_GB2312"/>
          <w:sz w:val="30"/>
          <w:szCs w:val="30"/>
          <w:highlight w:val="none"/>
        </w:rPr>
        <w:t>。</w:t>
      </w:r>
      <w:r>
        <w:rPr>
          <w:rFonts w:hint="eastAsia" w:ascii="仿宋" w:hAnsi="仿宋" w:eastAsia="仿宋" w:cs="仿宋"/>
          <w:kern w:val="2"/>
          <w:sz w:val="30"/>
          <w:szCs w:val="30"/>
          <w:highlight w:val="none"/>
          <w:lang w:val="en-US" w:eastAsia="zh-CN" w:bidi="ar"/>
        </w:rPr>
        <w:t>公务用车运行维护费支出年</w:t>
      </w:r>
      <w:r>
        <w:rPr>
          <w:rFonts w:hint="eastAsia" w:ascii="仿宋" w:hAnsi="仿宋" w:eastAsia="仿宋" w:cs="仿宋"/>
          <w:kern w:val="2"/>
          <w:sz w:val="30"/>
          <w:szCs w:val="30"/>
          <w:lang w:val="en-US" w:eastAsia="zh-CN" w:bidi="ar"/>
        </w:rPr>
        <w:t>初预算数为16.048万元，决算数为15.996772万元，完成预算的99.68%，决算数较2020年减少0.05万元，下降0.32%。主要原因是：履行节约原则，严格执行中央八项规定。</w:t>
      </w:r>
      <w:r>
        <w:rPr>
          <w:rFonts w:hint="eastAsia" w:ascii="仿宋_GB2312" w:hAnsi="仿宋_GB2312" w:eastAsia="仿宋_GB2312"/>
          <w:sz w:val="30"/>
          <w:szCs w:val="30"/>
          <w:highlight w:val="none"/>
        </w:rPr>
        <w:t>决算数较年初预算数减少的主要原因是：落实上级文件精神，缩减支出，严格公务用车支出。年末公务用车保有</w:t>
      </w:r>
      <w:r>
        <w:rPr>
          <w:rFonts w:hint="eastAsia" w:ascii="仿宋_GB2312" w:hAnsi="仿宋_GB2312" w:eastAsia="仿宋_GB2312"/>
          <w:sz w:val="30"/>
          <w:szCs w:val="30"/>
          <w:highlight w:val="none"/>
          <w:lang w:val="en-US" w:eastAsia="zh-CN"/>
        </w:rPr>
        <w:t>2</w:t>
      </w:r>
      <w:r>
        <w:rPr>
          <w:rFonts w:hint="eastAsia" w:ascii="仿宋_GB2312" w:hAnsi="仿宋_GB2312" w:eastAsia="仿宋_GB2312"/>
          <w:sz w:val="30"/>
          <w:szCs w:val="30"/>
          <w:highlight w:val="none"/>
        </w:rPr>
        <w:t>辆。</w:t>
      </w:r>
    </w:p>
    <w:p>
      <w:pPr>
        <w:keepNext w:val="0"/>
        <w:keepLines w:val="0"/>
        <w:widowControl w:val="0"/>
        <w:suppressLineNumbers w:val="0"/>
        <w:spacing w:before="0" w:beforeAutospacing="0" w:after="0" w:afterAutospacing="0"/>
        <w:ind w:left="0" w:right="0" w:firstLine="600" w:firstLineChars="200"/>
        <w:jc w:val="left"/>
        <w:rPr>
          <w:rFonts w:hint="eastAsia" w:ascii="黑体" w:hAnsi="宋体" w:eastAsia="黑体" w:cs="黑体"/>
          <w:color w:val="FF0000"/>
          <w:sz w:val="30"/>
          <w:szCs w:val="30"/>
          <w:lang w:val="en-US"/>
        </w:rPr>
      </w:pPr>
      <w:r>
        <w:rPr>
          <w:rFonts w:hint="eastAsia" w:ascii="黑体" w:hAnsi="宋体" w:eastAsia="黑体" w:cs="黑体"/>
          <w:kern w:val="2"/>
          <w:sz w:val="30"/>
          <w:szCs w:val="30"/>
          <w:lang w:val="en-US" w:eastAsia="zh-CN" w:bidi="ar"/>
        </w:rPr>
        <w:t>六、机关运行经费支出情况说明</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本部门2021年度机关运行经费支出4384.42万元，较年2020年数减少24.25万元，降低5.93%，主要原因是：落实过紧日子要求压减日常支出。</w:t>
      </w:r>
      <w:r>
        <w:rPr>
          <w:rFonts w:hint="eastAsia" w:ascii="仿宋" w:hAnsi="仿宋" w:eastAsia="仿宋" w:cs="仿宋"/>
          <w:kern w:val="2"/>
          <w:sz w:val="30"/>
          <w:szCs w:val="30"/>
          <w:shd w:val="clear" w:color="auto" w:fill="auto"/>
          <w:lang w:val="en-US" w:eastAsia="zh-CN" w:bidi="ar"/>
        </w:rPr>
        <w:t xml:space="preserve"> </w:t>
      </w:r>
    </w:p>
    <w:p>
      <w:pPr>
        <w:keepNext w:val="0"/>
        <w:keepLines w:val="0"/>
        <w:widowControl w:val="0"/>
        <w:suppressLineNumbers w:val="0"/>
        <w:spacing w:before="0" w:beforeAutospacing="0" w:after="0" w:afterAutospacing="0"/>
        <w:ind w:left="0" w:right="0" w:firstLine="630"/>
        <w:jc w:val="left"/>
        <w:rPr>
          <w:rFonts w:hint="eastAsia" w:ascii="黑体" w:hAnsi="宋体" w:eastAsia="黑体" w:cs="黑体"/>
          <w:color w:val="FF0000"/>
          <w:sz w:val="30"/>
          <w:szCs w:val="30"/>
          <w:lang w:val="en-US"/>
        </w:rPr>
      </w:pPr>
      <w:r>
        <w:rPr>
          <w:rFonts w:hint="eastAsia" w:ascii="黑体" w:hAnsi="宋体" w:eastAsia="黑体" w:cs="黑体"/>
          <w:kern w:val="2"/>
          <w:sz w:val="30"/>
          <w:szCs w:val="30"/>
          <w:lang w:val="en-US" w:eastAsia="zh-CN" w:bidi="ar"/>
        </w:rPr>
        <w:t>七、政府采购支出情况说明</w:t>
      </w:r>
    </w:p>
    <w:p>
      <w:pPr>
        <w:pStyle w:val="7"/>
        <w:spacing w:line="600" w:lineRule="atLeast"/>
        <w:ind w:firstLine="600"/>
        <w:rPr>
          <w:rFonts w:hint="eastAsia" w:ascii="仿宋_GB2312" w:hAnsi="仿宋_GB2312" w:eastAsia="仿宋_GB2312"/>
          <w:color w:val="FF0000"/>
          <w:sz w:val="30"/>
          <w:szCs w:val="30"/>
        </w:rPr>
      </w:pPr>
      <w:r>
        <w:rPr>
          <w:rFonts w:hint="eastAsia" w:ascii="仿宋_GB2312" w:hAnsi="仿宋_GB2312" w:eastAsia="仿宋_GB2312"/>
          <w:sz w:val="30"/>
          <w:szCs w:val="30"/>
        </w:rPr>
        <w:t>本部门2021年度政府采购支出总额</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万元，其中：政府采购货物支出</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万元、政府采购工程支出</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万元、政府采购服务支出</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万元。授予中小企业合同金额</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万元，占政府采购支出总额的</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%，其中：授予小微企业合同金额</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万元，占政府采购支出总额的</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%；货物采购授予中小企业合同金额占货物支出金额的</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%，工程采购授予中小企业合同金额占工程支出金额的</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%，服务采购授予中小企业合同金额占服务支出金额的</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w:t>
      </w:r>
    </w:p>
    <w:p>
      <w:pPr>
        <w:keepNext w:val="0"/>
        <w:keepLines w:val="0"/>
        <w:widowControl w:val="0"/>
        <w:suppressLineNumbers w:val="0"/>
        <w:spacing w:before="0" w:beforeAutospacing="0" w:after="0" w:afterAutospacing="0"/>
        <w:ind w:right="0" w:firstLine="600" w:firstLineChars="200"/>
        <w:jc w:val="left"/>
        <w:rPr>
          <w:rFonts w:hint="eastAsia" w:ascii="黑体" w:hAnsi="宋体" w:eastAsia="黑体" w:cs="黑体"/>
          <w:sz w:val="30"/>
          <w:szCs w:val="30"/>
          <w:lang w:val="en-US"/>
        </w:rPr>
      </w:pPr>
      <w:r>
        <w:rPr>
          <w:rFonts w:hint="eastAsia" w:ascii="黑体" w:hAnsi="宋体" w:eastAsia="黑体" w:cs="黑体"/>
          <w:kern w:val="2"/>
          <w:sz w:val="30"/>
          <w:szCs w:val="30"/>
          <w:lang w:val="en-US" w:eastAsia="zh-CN" w:bidi="ar"/>
        </w:rPr>
        <w:t>八、国有资产占用情况说明。</w:t>
      </w:r>
    </w:p>
    <w:p>
      <w:pPr>
        <w:keepNext w:val="0"/>
        <w:keepLines w:val="0"/>
        <w:widowControl w:val="0"/>
        <w:suppressLineNumbers w:val="0"/>
        <w:spacing w:before="0" w:beforeAutospacing="0" w:after="0" w:afterAutospacing="0"/>
        <w:ind w:left="0" w:right="0" w:firstLine="630"/>
        <w:jc w:val="left"/>
        <w:rPr>
          <w:rFonts w:hint="eastAsia" w:ascii="仿宋" w:hAnsi="仿宋" w:eastAsia="仿宋" w:cs="仿宋"/>
          <w:kern w:val="0"/>
          <w:sz w:val="30"/>
          <w:szCs w:val="30"/>
          <w:lang w:val="en-US"/>
        </w:rPr>
      </w:pPr>
      <w:r>
        <w:rPr>
          <w:rFonts w:hint="eastAsia" w:ascii="仿宋" w:hAnsi="仿宋" w:eastAsia="仿宋" w:cs="仿宋"/>
          <w:kern w:val="0"/>
          <w:sz w:val="30"/>
          <w:szCs w:val="30"/>
          <w:lang w:val="en-US" w:eastAsia="zh-CN" w:bidi="ar"/>
        </w:rPr>
        <w:t>截止2021年12月31日，本部门共有车辆2辆，其中，副部（省）级及以上领导用车0辆、主要领导干部用车2辆、机要通信用车0辆、应急保障用车0辆、执法执勤用车0辆、特种专业技术用车0辆、其他用车0辆；单位价值50万元以上通用设备0台（套）；单位价值100万元以上专用设备0台（套）。</w:t>
      </w:r>
    </w:p>
    <w:p>
      <w:pPr>
        <w:keepNext w:val="0"/>
        <w:keepLines w:val="0"/>
        <w:widowControl w:val="0"/>
        <w:suppressLineNumbers w:val="0"/>
        <w:spacing w:before="0" w:beforeAutospacing="0" w:after="0" w:afterAutospacing="0"/>
        <w:ind w:left="0" w:right="0" w:firstLine="585"/>
        <w:jc w:val="left"/>
        <w:rPr>
          <w:rFonts w:hint="eastAsia" w:ascii="黑体" w:hAnsi="宋体" w:eastAsia="黑体" w:cs="黑体"/>
          <w:sz w:val="30"/>
          <w:szCs w:val="30"/>
          <w:lang w:val="en-US"/>
        </w:rPr>
      </w:pPr>
      <w:r>
        <w:rPr>
          <w:rFonts w:hint="eastAsia" w:ascii="黑体" w:hAnsi="宋体" w:eastAsia="黑体" w:cs="黑体"/>
          <w:kern w:val="2"/>
          <w:sz w:val="30"/>
          <w:szCs w:val="30"/>
          <w:lang w:val="en-US" w:eastAsia="zh-CN" w:bidi="ar"/>
        </w:rPr>
        <w:t>九、预算绩效情况说明</w:t>
      </w: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bidi="ar"/>
        </w:rPr>
      </w:pPr>
      <w:r>
        <w:rPr>
          <w:rFonts w:hint="eastAsia" w:ascii="仿宋" w:hAnsi="仿宋" w:eastAsia="仿宋" w:cs="仿宋_GB2312"/>
          <w:kern w:val="0"/>
          <w:sz w:val="30"/>
          <w:szCs w:val="30"/>
          <w:lang w:val="en-US" w:eastAsia="zh-CN" w:bidi="ar"/>
        </w:rPr>
        <w:t xml:space="preserve">  （一）绩效管理工作开展情况。</w:t>
      </w: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eastAsia="zh-CN" w:bidi="ar"/>
        </w:rPr>
      </w:pPr>
      <w:r>
        <w:rPr>
          <w:rFonts w:hint="eastAsia" w:ascii="仿宋" w:hAnsi="仿宋" w:eastAsia="仿宋" w:cs="仿宋_GB2312"/>
          <w:kern w:val="0"/>
          <w:sz w:val="30"/>
          <w:szCs w:val="30"/>
          <w:lang w:val="en-US" w:eastAsia="zh-CN" w:bidi="ar"/>
        </w:rPr>
        <w:t xml:space="preserve">    根据预算绩效管理要求，我部门组织对2021年度一般公共预算项目支出全面开展绩效自评，共涉及资金</w:t>
      </w:r>
      <w:r>
        <w:rPr>
          <w:rFonts w:hint="eastAsia" w:ascii="仿宋" w:hAnsi="仿宋" w:eastAsia="仿宋" w:cs="仿宋"/>
          <w:kern w:val="2"/>
          <w:sz w:val="30"/>
          <w:szCs w:val="30"/>
          <w:lang w:val="en-US" w:eastAsia="zh-CN" w:bidi="ar"/>
        </w:rPr>
        <w:t>1186.06</w:t>
      </w:r>
      <w:r>
        <w:rPr>
          <w:rFonts w:hint="eastAsia" w:ascii="仿宋" w:hAnsi="仿宋" w:eastAsia="仿宋" w:cs="仿宋_GB2312"/>
          <w:kern w:val="0"/>
          <w:sz w:val="30"/>
          <w:szCs w:val="30"/>
          <w:lang w:val="en-US" w:eastAsia="zh-CN" w:bidi="ar"/>
        </w:rPr>
        <w:t>万元，占一般公共预算项目支出总额的100%。</w:t>
      </w: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仿宋" w:hAnsi="仿宋" w:eastAsia="仿宋" w:cs="仿宋_GB2312"/>
          <w:kern w:val="0"/>
          <w:sz w:val="30"/>
          <w:szCs w:val="30"/>
          <w:lang w:val="en-US"/>
        </w:rPr>
      </w:pPr>
      <w:r>
        <w:rPr>
          <w:rFonts w:hint="eastAsia" w:ascii="仿宋" w:hAnsi="仿宋" w:eastAsia="仿宋" w:cs="仿宋_GB2312"/>
          <w:kern w:val="0"/>
          <w:sz w:val="30"/>
          <w:szCs w:val="30"/>
          <w:lang w:val="en-US" w:eastAsia="zh-CN" w:bidi="ar"/>
        </w:rPr>
        <w:t xml:space="preserve">    组织对“机关运行经费”等1个项目进行了重点绩效评价，涉及一般公共预算支出</w:t>
      </w:r>
      <w:r>
        <w:rPr>
          <w:rFonts w:hint="eastAsia" w:ascii="仿宋" w:hAnsi="仿宋" w:eastAsia="仿宋" w:cs="仿宋"/>
          <w:kern w:val="2"/>
          <w:sz w:val="30"/>
          <w:szCs w:val="30"/>
          <w:lang w:val="en-US" w:eastAsia="zh-CN" w:bidi="ar"/>
        </w:rPr>
        <w:t>1186.06</w:t>
      </w:r>
      <w:r>
        <w:rPr>
          <w:rFonts w:hint="eastAsia" w:ascii="仿宋" w:hAnsi="仿宋" w:eastAsia="仿宋" w:cs="仿宋_GB2312"/>
          <w:kern w:val="0"/>
          <w:sz w:val="30"/>
          <w:szCs w:val="30"/>
          <w:lang w:val="en-US" w:eastAsia="zh-CN" w:bidi="ar"/>
        </w:rPr>
        <w:t>万元。从评价情况来看，机关运行经费符合国家财经法规和财务管理制度的规定，执行较好。</w:t>
      </w:r>
    </w:p>
    <w:p>
      <w:pPr>
        <w:keepNext w:val="0"/>
        <w:keepLines w:val="0"/>
        <w:widowControl w:val="0"/>
        <w:suppressLineNumbers w:val="0"/>
        <w:autoSpaceDE w:val="0"/>
        <w:autoSpaceDN w:val="0"/>
        <w:adjustRightInd w:val="0"/>
        <w:spacing w:before="0" w:beforeAutospacing="0" w:after="0" w:afterAutospacing="0" w:line="360" w:lineRule="auto"/>
        <w:ind w:left="0" w:right="0" w:firstLine="585"/>
        <w:jc w:val="left"/>
        <w:rPr>
          <w:rFonts w:hint="eastAsia" w:ascii="仿宋" w:hAnsi="仿宋" w:eastAsia="仿宋" w:cs="仿宋_GB2312"/>
          <w:kern w:val="0"/>
          <w:sz w:val="30"/>
          <w:szCs w:val="30"/>
          <w:lang w:val="en-US"/>
        </w:rPr>
      </w:pPr>
      <w:r>
        <w:rPr>
          <w:rFonts w:hint="eastAsia" w:ascii="仿宋" w:hAnsi="仿宋" w:eastAsia="仿宋" w:cs="仿宋_GB2312"/>
          <w:kern w:val="0"/>
          <w:sz w:val="30"/>
          <w:szCs w:val="30"/>
          <w:lang w:val="en-US" w:eastAsia="zh-CN" w:bidi="ar"/>
        </w:rPr>
        <w:t>（二）项目绩效自评结果</w:t>
      </w:r>
    </w:p>
    <w:p>
      <w:pPr>
        <w:keepNext w:val="0"/>
        <w:keepLines w:val="0"/>
        <w:widowControl w:val="0"/>
        <w:suppressLineNumbers w:val="0"/>
        <w:autoSpaceDE w:val="0"/>
        <w:autoSpaceDN w:val="0"/>
        <w:adjustRightInd w:val="0"/>
        <w:spacing w:before="0" w:beforeAutospacing="0" w:after="0" w:afterAutospacing="0" w:line="360" w:lineRule="auto"/>
        <w:ind w:left="0" w:right="0" w:firstLine="585"/>
        <w:jc w:val="left"/>
        <w:rPr>
          <w:rFonts w:hint="eastAsia" w:ascii="仿宋" w:hAnsi="仿宋" w:eastAsia="仿宋" w:cs="仿宋_GB2312"/>
          <w:kern w:val="0"/>
          <w:sz w:val="30"/>
          <w:szCs w:val="30"/>
          <w:lang w:val="en-US"/>
        </w:rPr>
      </w:pPr>
      <w:r>
        <w:rPr>
          <w:rFonts w:hint="eastAsia" w:ascii="仿宋" w:hAnsi="仿宋" w:eastAsia="仿宋" w:cs="仿宋_GB2312"/>
          <w:kern w:val="0"/>
          <w:sz w:val="30"/>
          <w:szCs w:val="30"/>
          <w:lang w:val="en-US" w:eastAsia="zh-CN" w:bidi="ar"/>
        </w:rPr>
        <w:t>我部门今年在部门决算中反映项目执行完毕后所产生的实际绩效情况项目绩效自评结果。</w:t>
      </w:r>
    </w:p>
    <w:p>
      <w:pPr>
        <w:keepNext w:val="0"/>
        <w:keepLines w:val="0"/>
        <w:widowControl w:val="0"/>
        <w:suppressLineNumbers w:val="0"/>
        <w:autoSpaceDE w:val="0"/>
        <w:autoSpaceDN w:val="0"/>
        <w:adjustRightInd w:val="0"/>
        <w:spacing w:before="0" w:beforeAutospacing="0" w:after="0" w:afterAutospacing="0" w:line="360" w:lineRule="auto"/>
        <w:ind w:left="0" w:right="0" w:firstLine="585"/>
        <w:jc w:val="left"/>
        <w:rPr>
          <w:rFonts w:hint="eastAsia" w:ascii="仿宋" w:hAnsi="仿宋" w:eastAsia="仿宋" w:cs="仿宋"/>
          <w:kern w:val="2"/>
          <w:sz w:val="30"/>
          <w:szCs w:val="30"/>
          <w:lang w:val="en-US" w:eastAsia="zh-CN" w:bidi="ar"/>
        </w:rPr>
      </w:pPr>
      <w:r>
        <w:rPr>
          <w:rFonts w:hint="eastAsia" w:ascii="仿宋" w:hAnsi="仿宋" w:eastAsia="仿宋" w:cs="仿宋_GB2312"/>
          <w:kern w:val="0"/>
          <w:sz w:val="30"/>
          <w:szCs w:val="30"/>
          <w:lang w:val="en-US" w:eastAsia="zh-CN" w:bidi="ar"/>
        </w:rPr>
        <w:t>项目绩效自评综述：根据年初设定的绩效目标，项目执行完毕后所产生的实际绩效情况绩效自评得分为95分。项目全年预算数为</w:t>
      </w:r>
      <w:r>
        <w:rPr>
          <w:rFonts w:hint="eastAsia" w:ascii="仿宋" w:hAnsi="仿宋" w:eastAsia="仿宋" w:cs="仿宋"/>
          <w:kern w:val="2"/>
          <w:sz w:val="30"/>
          <w:szCs w:val="30"/>
          <w:lang w:val="en-US" w:eastAsia="zh-CN" w:bidi="ar"/>
        </w:rPr>
        <w:t>1186.06</w:t>
      </w:r>
      <w:r>
        <w:rPr>
          <w:rFonts w:hint="eastAsia" w:ascii="仿宋" w:hAnsi="仿宋" w:eastAsia="仿宋" w:cs="仿宋_GB2312"/>
          <w:kern w:val="0"/>
          <w:sz w:val="30"/>
          <w:szCs w:val="30"/>
          <w:lang w:val="en-US" w:eastAsia="zh-CN" w:bidi="ar"/>
        </w:rPr>
        <w:t>万元，执行数为</w:t>
      </w:r>
      <w:r>
        <w:rPr>
          <w:rFonts w:hint="eastAsia" w:ascii="仿宋" w:hAnsi="仿宋" w:eastAsia="仿宋" w:cs="仿宋"/>
          <w:kern w:val="2"/>
          <w:sz w:val="30"/>
          <w:szCs w:val="30"/>
          <w:lang w:val="en-US" w:eastAsia="zh-CN" w:bidi="ar"/>
        </w:rPr>
        <w:t>1186.06</w:t>
      </w:r>
      <w:r>
        <w:rPr>
          <w:rFonts w:hint="eastAsia" w:ascii="仿宋" w:hAnsi="仿宋" w:eastAsia="仿宋" w:cs="仿宋_GB2312"/>
          <w:kern w:val="0"/>
          <w:sz w:val="30"/>
          <w:szCs w:val="30"/>
          <w:lang w:val="en-US" w:eastAsia="zh-CN" w:bidi="ar"/>
        </w:rPr>
        <w:t>万元，完成预算的</w:t>
      </w:r>
      <w:r>
        <w:rPr>
          <w:rFonts w:hint="eastAsia" w:ascii="仿宋" w:hAnsi="仿宋" w:eastAsia="仿宋" w:cs="仿宋"/>
          <w:kern w:val="2"/>
          <w:sz w:val="30"/>
          <w:szCs w:val="30"/>
          <w:lang w:val="en-US" w:eastAsia="zh-CN" w:bidi="ar"/>
        </w:rPr>
        <w:t>100</w:t>
      </w:r>
      <w:r>
        <w:rPr>
          <w:rFonts w:hint="eastAsia" w:ascii="仿宋" w:hAnsi="仿宋" w:eastAsia="仿宋" w:cs="仿宋_GB2312"/>
          <w:kern w:val="0"/>
          <w:sz w:val="30"/>
          <w:szCs w:val="30"/>
          <w:lang w:val="en-US" w:eastAsia="zh-CN" w:bidi="ar"/>
        </w:rPr>
        <w:t>%。主要产出和效果：一是</w:t>
      </w:r>
      <w:r>
        <w:rPr>
          <w:rFonts w:hint="eastAsia" w:ascii="仿宋" w:hAnsi="仿宋" w:eastAsia="仿宋" w:cs="仿宋"/>
          <w:kern w:val="2"/>
          <w:sz w:val="30"/>
          <w:szCs w:val="30"/>
          <w:lang w:val="en-US" w:eastAsia="zh-CN" w:bidi="ar"/>
        </w:rPr>
        <w:t>服务群众水平提升</w:t>
      </w:r>
      <w:r>
        <w:rPr>
          <w:rFonts w:hint="eastAsia" w:ascii="仿宋" w:hAnsi="仿宋" w:eastAsia="仿宋" w:cs="仿宋_GB2312"/>
          <w:kern w:val="0"/>
          <w:sz w:val="30"/>
          <w:szCs w:val="30"/>
          <w:lang w:val="en-US" w:eastAsia="zh-CN" w:bidi="ar"/>
        </w:rPr>
        <w:t>；二是</w:t>
      </w:r>
      <w:r>
        <w:rPr>
          <w:rFonts w:hint="eastAsia" w:ascii="仿宋" w:hAnsi="仿宋" w:eastAsia="仿宋" w:cs="仿宋"/>
          <w:kern w:val="2"/>
          <w:sz w:val="30"/>
          <w:szCs w:val="30"/>
          <w:lang w:val="en-US" w:eastAsia="zh-CN" w:bidi="ar"/>
        </w:rPr>
        <w:t>政府行政职能发挥显著</w:t>
      </w:r>
      <w:r>
        <w:rPr>
          <w:rFonts w:hint="eastAsia" w:ascii="仿宋" w:hAnsi="仿宋" w:eastAsia="仿宋" w:cs="仿宋_GB2312"/>
          <w:kern w:val="0"/>
          <w:sz w:val="30"/>
          <w:szCs w:val="30"/>
          <w:lang w:val="en-US" w:eastAsia="zh-CN" w:bidi="ar"/>
        </w:rPr>
        <w:t>。发现的问题及原因：</w:t>
      </w:r>
      <w:r>
        <w:rPr>
          <w:rFonts w:hint="eastAsia" w:ascii="仿宋" w:hAnsi="仿宋" w:eastAsia="仿宋" w:cs="仿宋"/>
          <w:kern w:val="2"/>
          <w:sz w:val="30"/>
          <w:szCs w:val="30"/>
          <w:lang w:val="en-US" w:eastAsia="zh-CN" w:bidi="ar"/>
        </w:rPr>
        <w:t>对资金绩效评价认识不足</w:t>
      </w:r>
      <w:r>
        <w:rPr>
          <w:rFonts w:hint="eastAsia" w:ascii="仿宋" w:hAnsi="仿宋" w:eastAsia="仿宋" w:cs="仿宋_GB2312"/>
          <w:kern w:val="0"/>
          <w:sz w:val="30"/>
          <w:szCs w:val="30"/>
          <w:lang w:val="en-US" w:eastAsia="zh-CN" w:bidi="ar"/>
        </w:rPr>
        <w:t>。下一步改进措施：</w:t>
      </w:r>
      <w:r>
        <w:rPr>
          <w:rFonts w:hint="eastAsia" w:ascii="仿宋" w:hAnsi="仿宋" w:eastAsia="仿宋" w:cs="仿宋"/>
          <w:kern w:val="2"/>
          <w:sz w:val="30"/>
          <w:szCs w:val="30"/>
          <w:lang w:val="en-US" w:eastAsia="zh-CN" w:bidi="ar"/>
        </w:rPr>
        <w:t>加强学习，继续加强项目资金绩效管理。</w:t>
      </w:r>
    </w:p>
    <w:p>
      <w:pPr>
        <w:keepNext w:val="0"/>
        <w:keepLines w:val="0"/>
        <w:widowControl w:val="0"/>
        <w:suppressLineNumbers w:val="0"/>
        <w:autoSpaceDE w:val="0"/>
        <w:autoSpaceDN w:val="0"/>
        <w:adjustRightInd w:val="0"/>
        <w:spacing w:before="0" w:beforeAutospacing="0" w:after="0" w:afterAutospacing="0" w:line="360" w:lineRule="auto"/>
        <w:ind w:left="0" w:right="0" w:firstLine="585"/>
        <w:jc w:val="left"/>
        <w:rPr>
          <w:rFonts w:hint="eastAsia" w:ascii="仿宋" w:hAnsi="仿宋" w:eastAsia="仿宋" w:cs="仿宋"/>
          <w:kern w:val="2"/>
          <w:sz w:val="30"/>
          <w:szCs w:val="30"/>
          <w:lang w:val="en-US" w:eastAsia="zh-CN" w:bidi="ar"/>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line="600" w:lineRule="exact"/>
        <w:ind w:left="0" w:right="0" w:firstLine="640"/>
        <w:jc w:val="center"/>
        <w:rPr>
          <w:rFonts w:hint="eastAsia" w:ascii="宋体" w:hAnsi="宋体" w:eastAsia="宋体" w:cs="宋体"/>
          <w:b/>
          <w:bCs w:val="0"/>
          <w:sz w:val="32"/>
          <w:szCs w:val="32"/>
          <w:lang w:val="en-US"/>
        </w:rPr>
      </w:pPr>
      <w:r>
        <w:rPr>
          <w:rFonts w:hint="eastAsia" w:ascii="宋体" w:hAnsi="宋体" w:eastAsia="宋体" w:cs="宋体"/>
          <w:b/>
          <w:bCs w:val="0"/>
          <w:kern w:val="2"/>
          <w:sz w:val="32"/>
          <w:szCs w:val="32"/>
          <w:lang w:val="en-US" w:eastAsia="zh-CN" w:bidi="ar"/>
        </w:rPr>
        <w:t>第四部分  名词解释</w:t>
      </w:r>
    </w:p>
    <w:p>
      <w:pPr>
        <w:pStyle w:val="7"/>
        <w:widowControl/>
        <w:spacing w:line="600" w:lineRule="atLeast"/>
        <w:ind w:left="0" w:firstLine="600"/>
        <w:rPr>
          <w:rFonts w:hint="eastAsia" w:ascii="仿宋" w:hAnsi="仿宋" w:eastAsia="仿宋" w:cs="仿宋"/>
          <w:sz w:val="30"/>
          <w:szCs w:val="30"/>
          <w:lang w:val="en-US"/>
        </w:rPr>
      </w:pP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一、财政拨款收入：指单位本年度从本级财政部门取得的财政拨款，包括一般公共预算财政拨款和政府性基金预算财政拨款。</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二、上级补助收入：指事业单位从主管部门和上级单位取得的非财政补助收入。</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三、事业收入：指事业单位开展专业业务活动及其辅助活动取得的收入；事业单位收到的财政专户实际核拨的教育收费等资金在此反映。</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四、经营收入：指事业单位在专业业务活动及其辅助活动之外开展非独立核算经营活动取得的收入。（可结合部门实际收入情况举例说明） </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五、其他收入：指单位取得的除上述“财政拨款收入”、“事业收入”、“经营收入”、“附属单位缴款”等以外的各项收入。</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六、年初结转和结余：指单位上年结转本年使用的基本支出结转、项目支出结转和结余和经营结余。 </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七、年末结转和结余资金：指单位结转下年的基本支出结转、项目支出结转和结余和经营结余。</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八、基本支出：指为保障机构正常运转、完成日常工作任务而发生的人员支出和公用支出。 </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九、项目支出：指在基本支出之外为完成特定的行政任务或事业发展目标所发生的支出。 </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十、经营支出：指事业单位在专业业务活动及其辅助活动之外开展非独立核算经营活动发生的支出。</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十一、对附属单位补助支出：指事业单位用财政补助收入之外的收入对附属单位补助发生的支出。</w:t>
      </w:r>
    </w:p>
    <w:p>
      <w:pPr>
        <w:keepNext w:val="0"/>
        <w:keepLines w:val="0"/>
        <w:widowControl w:val="0"/>
        <w:suppressLineNumbers w:val="0"/>
        <w:spacing w:before="0" w:beforeAutospacing="0" w:after="0" w:afterAutospacing="0"/>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十二、“三公”经费：指各部门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 </w:t>
      </w:r>
    </w:p>
    <w:p>
      <w:pPr>
        <w:keepNext w:val="0"/>
        <w:keepLines w:val="0"/>
        <w:widowControl w:val="0"/>
        <w:suppressLineNumbers w:val="0"/>
        <w:spacing w:before="0" w:beforeAutospacing="0" w:after="0" w:afterAutospacing="0"/>
        <w:ind w:left="0" w:right="0" w:firstLine="600" w:firstLineChars="200"/>
        <w:jc w:val="left"/>
      </w:pPr>
      <w:r>
        <w:rPr>
          <w:rFonts w:hint="eastAsia" w:ascii="仿宋" w:hAnsi="仿宋" w:eastAsia="仿宋" w:cs="仿宋"/>
          <w:kern w:val="2"/>
          <w:sz w:val="30"/>
          <w:szCs w:val="30"/>
          <w:lang w:val="en-US" w:eastAsia="zh-CN" w:bidi="ar"/>
        </w:rPr>
        <w:t>十三、机关运行经费：指为保障行政单位（含参照公务员法管理的事业单位）运行用于购买货物和服务的各项资金，包括办公费、印刷费、差旅费、会议费、日常维修费、专用材料及办公用房水电费、物业管理费、公务用车运行维护费等。</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F1AB64"/>
    <w:multiLevelType w:val="singleLevel"/>
    <w:tmpl w:val="CEF1AB64"/>
    <w:lvl w:ilvl="0" w:tentative="0">
      <w:start w:val="8"/>
      <w:numFmt w:val="chineseCounting"/>
      <w:suff w:val="nothing"/>
      <w:lvlText w:val="%1、"/>
      <w:lvlJc w:val="left"/>
      <w:pPr>
        <w:ind w:left="1280" w:firstLine="0"/>
      </w:pPr>
      <w:rPr>
        <w:rFonts w:hint="eastAsia"/>
      </w:rPr>
    </w:lvl>
  </w:abstractNum>
  <w:abstractNum w:abstractNumId="1">
    <w:nsid w:val="D096252A"/>
    <w:multiLevelType w:val="singleLevel"/>
    <w:tmpl w:val="D096252A"/>
    <w:lvl w:ilvl="0" w:tentative="0">
      <w:start w:val="2"/>
      <w:numFmt w:val="chineseCounting"/>
      <w:suff w:val="space"/>
      <w:lvlText w:val="第%1部分"/>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lYzM4MWNhMWU5MzVlMTNiYmFmMjI2ZDViNjA4YTQifQ=="/>
  </w:docVars>
  <w:rsids>
    <w:rsidRoot w:val="0D327AB1"/>
    <w:rsid w:val="003C5408"/>
    <w:rsid w:val="04912513"/>
    <w:rsid w:val="0553085C"/>
    <w:rsid w:val="07707574"/>
    <w:rsid w:val="09895EB7"/>
    <w:rsid w:val="0B0264D2"/>
    <w:rsid w:val="0D327AB1"/>
    <w:rsid w:val="0E451CEB"/>
    <w:rsid w:val="0FB44F24"/>
    <w:rsid w:val="0FC80170"/>
    <w:rsid w:val="100403DF"/>
    <w:rsid w:val="10C1360B"/>
    <w:rsid w:val="11593BC8"/>
    <w:rsid w:val="15330BF9"/>
    <w:rsid w:val="15F611C8"/>
    <w:rsid w:val="16013F56"/>
    <w:rsid w:val="180B74A8"/>
    <w:rsid w:val="1ACE4F78"/>
    <w:rsid w:val="1C424981"/>
    <w:rsid w:val="1D0D07E3"/>
    <w:rsid w:val="1F48373C"/>
    <w:rsid w:val="21150AA6"/>
    <w:rsid w:val="212F5FB2"/>
    <w:rsid w:val="21B0508E"/>
    <w:rsid w:val="229A7948"/>
    <w:rsid w:val="23F15720"/>
    <w:rsid w:val="25F924F2"/>
    <w:rsid w:val="26634159"/>
    <w:rsid w:val="29285969"/>
    <w:rsid w:val="29A61B9F"/>
    <w:rsid w:val="2A7360A9"/>
    <w:rsid w:val="2B6D34EE"/>
    <w:rsid w:val="2C9A48E6"/>
    <w:rsid w:val="2CF47F19"/>
    <w:rsid w:val="2EAF0330"/>
    <w:rsid w:val="315D29E6"/>
    <w:rsid w:val="31DB0EB4"/>
    <w:rsid w:val="33F374DB"/>
    <w:rsid w:val="370130B6"/>
    <w:rsid w:val="37233D66"/>
    <w:rsid w:val="3921151E"/>
    <w:rsid w:val="3C2A49E5"/>
    <w:rsid w:val="3C805FA4"/>
    <w:rsid w:val="3D4E36F8"/>
    <w:rsid w:val="3FCC2329"/>
    <w:rsid w:val="3FF16A34"/>
    <w:rsid w:val="401968A7"/>
    <w:rsid w:val="40AF2283"/>
    <w:rsid w:val="412D35A2"/>
    <w:rsid w:val="433126A8"/>
    <w:rsid w:val="469300FF"/>
    <w:rsid w:val="47B706A9"/>
    <w:rsid w:val="4A5C2802"/>
    <w:rsid w:val="4D912E70"/>
    <w:rsid w:val="4FE65048"/>
    <w:rsid w:val="53E65B95"/>
    <w:rsid w:val="543D5452"/>
    <w:rsid w:val="55DD72F7"/>
    <w:rsid w:val="58A51C9C"/>
    <w:rsid w:val="59912B43"/>
    <w:rsid w:val="5B155203"/>
    <w:rsid w:val="5C29550B"/>
    <w:rsid w:val="5F110A55"/>
    <w:rsid w:val="5F904B15"/>
    <w:rsid w:val="615F15D2"/>
    <w:rsid w:val="61AC6DBE"/>
    <w:rsid w:val="63C361A9"/>
    <w:rsid w:val="64992B79"/>
    <w:rsid w:val="67614417"/>
    <w:rsid w:val="68915E1F"/>
    <w:rsid w:val="68E33618"/>
    <w:rsid w:val="69D87ED2"/>
    <w:rsid w:val="6A1F1768"/>
    <w:rsid w:val="6AFA462A"/>
    <w:rsid w:val="6D2D21F3"/>
    <w:rsid w:val="6F063052"/>
    <w:rsid w:val="71A339C3"/>
    <w:rsid w:val="71DE0782"/>
    <w:rsid w:val="72BF7C4E"/>
    <w:rsid w:val="73C53A9E"/>
    <w:rsid w:val="7709679F"/>
    <w:rsid w:val="77D35813"/>
    <w:rsid w:val="7801727B"/>
    <w:rsid w:val="796B68C1"/>
    <w:rsid w:val="79815C5D"/>
    <w:rsid w:val="7A227A4B"/>
    <w:rsid w:val="7B7570DF"/>
    <w:rsid w:val="7CF6500B"/>
    <w:rsid w:val="7F3A17DD"/>
    <w:rsid w:val="7F8A6A04"/>
    <w:rsid w:val="7FB01E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paragraph" w:customStyle="1" w:styleId="7">
    <w:name w:val="p0"/>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3709</Words>
  <Characters>4138</Characters>
  <Lines>0</Lines>
  <Paragraphs>0</Paragraphs>
  <TotalTime>2</TotalTime>
  <ScaleCrop>false</ScaleCrop>
  <LinksUpToDate>false</LinksUpToDate>
  <CharactersWithSpaces>4235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2019-10-12T03:43:00Z</dcterms:created>
  <dc:creator>Administrator</dc:creator>
  <cp:lastModifiedBy>柠檬</cp:lastModifiedBy>
  <dcterms:modified xsi:type="dcterms:W3CDTF">2022-11-05T07:54:16Z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3D4DC36E8D9E4F09B648E59EFE807046</vt:lpwstr>
  </property>
</Properties>
</file>