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color w:val="000000"/>
          <w:sz w:val="36"/>
          <w:szCs w:val="44"/>
          <w:lang w:eastAsia="zh-CN"/>
        </w:rPr>
      </w:pPr>
      <w:r>
        <w:rPr>
          <w:rFonts w:hint="eastAsia" w:ascii="方正小标宋简体" w:eastAsia="方正小标宋简体"/>
          <w:b/>
          <w:color w:val="000000"/>
          <w:sz w:val="36"/>
          <w:szCs w:val="44"/>
          <w:lang w:eastAsia="zh-CN"/>
        </w:rPr>
        <w:t>2023年劳动仲裁办案及劳动监察执法经费</w:t>
      </w:r>
    </w:p>
    <w:p>
      <w:pPr>
        <w:jc w:val="center"/>
        <w:rPr>
          <w:rFonts w:hint="eastAsia" w:ascii="方正小标宋简体" w:eastAsia="方正小标宋简体"/>
          <w:b/>
          <w:color w:val="000000"/>
          <w:sz w:val="36"/>
          <w:szCs w:val="44"/>
        </w:rPr>
      </w:pPr>
      <w:r>
        <w:rPr>
          <w:rFonts w:hint="eastAsia" w:ascii="方正小标宋简体" w:eastAsia="方正小标宋简体"/>
          <w:b/>
          <w:color w:val="000000"/>
          <w:sz w:val="36"/>
          <w:szCs w:val="44"/>
          <w:lang w:eastAsia="zh-CN"/>
        </w:rPr>
        <w:t>财政</w:t>
      </w:r>
      <w:r>
        <w:rPr>
          <w:rFonts w:hint="eastAsia" w:ascii="方正小标宋简体" w:eastAsia="方正小标宋简体"/>
          <w:b/>
          <w:color w:val="000000"/>
          <w:sz w:val="36"/>
          <w:szCs w:val="44"/>
        </w:rPr>
        <w:t>项目支出绩效</w:t>
      </w:r>
      <w:bookmarkStart w:id="0" w:name="_GoBack"/>
      <w:r>
        <w:rPr>
          <w:rFonts w:hint="eastAsia" w:ascii="方正小标宋简体" w:eastAsia="方正小标宋简体"/>
          <w:b/>
          <w:color w:val="000000"/>
          <w:sz w:val="36"/>
          <w:szCs w:val="44"/>
        </w:rPr>
        <w:t>报告</w:t>
      </w:r>
      <w:bookmarkEnd w:id="0"/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0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一、项目概况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Calibri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随着经济下行、非法集资案的发生，企业欠薪、老板跑路现象不断增加，我区劳资纠纷案件同比幅增长较多。受理举报投诉来访案件和劳动争议案件越来越多，为维护好广大劳动人民的合法权益，促进社会的和谐稳定，我局严格执法，公正办案，对各类案件严格按规定时间、规定程序完成结案。根据《劳动保障监察条例》第五条县级以上地方各级人民政府应当加强劳动保障监察工作。劳动保障监察所需经费列入本级财政预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0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二、项目资金使用及管理情况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2023年劳动仲裁办案及劳动监察执法经费项目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工作经费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为173.6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万元,项目运行正常，社会评价较高，群众满意度高。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资金拨付均经过完整的审批程序和手续，并严格按照部门预算批复的用途来使用。为了加强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资金的使用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管理，我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制定了财务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管理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制度和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内部审计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制度，进一步完善了管理制度。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0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三、项目组织实施情况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我单位2023年项目组织实施情况情况较好，坚持把有限的经费用在单位业务经办上，遵守财务相关制度，严格审批程序，财务开支和资金使用合法合规，各部门均按年初设定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的目标任务积极完成各项工作，机关效能进一步提升。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0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四、项目绩效情况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今年以来，我们不断加大劳动监察执法力度，有效调处劳动人事争议，全区劳动关系保持总体安全稳定。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1.劳资纠纷妥善有效化解。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健全欠薪治理工作机制、强化劳资纠纷风险隐患排查、加大劳动违法案件的查处力度，2023年，累计受理调处欠薪劳资纠纷案件7207件次，均得到迅速妥善处置。累计立案查处劳资纠纷案件479起，其中作出行政处罚18起，作出行政处理36起，移送法院强制执行28起，以涉嫌拒不支付劳动报酬犯罪移送公安机关侦办案件13起，为3560余名劳动者追索劳动报酬9630余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2.劳动仲裁处理效能提升。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坚持“调解为先、多元化解”理念，进一步规范劳动人事争议仲裁办案程序，2023年受理劳动人事争议案件820起，已结案411起，案涉金额11658.83万元，其中调解结案269起，调解成功率达65.45%。2023年，区劳动人事争议仲裁院入选全省2023年度五星级劳动人事争议仲裁院，并获得江西省工人先锋号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3.劳动领域重点工作取得突破。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2023年，累计受理工伤认定及劳动能力鉴定案件3696件，办结率达92.1%。南康区劳动能力鉴定分中心获准设立，成为全省首个县级劳动能力鉴定分中心，劳动能力鉴定时间由之前的90日压缩至28日左右。新就业形态劳动者权益保障持续推进，电子劳动合同平台应用持续推广，全区电子劳动合同累计达18164份，完成目标任务的252%。</w:t>
      </w:r>
    </w:p>
    <w:p>
      <w:pPr>
        <w:pStyle w:val="2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（一）下一步工作计划：进一步加强劳动纠纷调处工作。一是严格按照“谁主管、谁负责，谁监管、谁负责，谁实施、谁负责”、“属地管理”、劳动部门依照法律程序及时介入的原则，进一步落实劳资纠纷信访调处工作责任。二是认真做好农民工工资支付隐患排查工作，积极协调行业主管部门、各乡镇（街道）重点分别对主管领域内的城市建设、厂房建设、基础设施、民生工程等政府投资项目、对乡镇辖区内的家具、制衣等工商户和企业进行隐患排查。三是进一步加强对恶意欠薪及聚众违法滋事行为的打击力度。四是扎实推进农民工工资实名制监管信息化工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Calibri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（二）在日后的的工作中，我单位会逐渐加强对预算绩效管理的学习，提高业务人员的工作效率；也会严格按照《会计法》、《行政单位会计制度》、《行政单位财务规则》等规定，结合实际情况，科学设置支出科目，规范财务核算。</w:t>
      </w:r>
    </w:p>
    <w:p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0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六、项目评价工作情况。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评价基础数据收集、资料来源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均真实有效。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赣州市南康区人力资源和社会保障局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      2024年10月18日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ZjdiMWUwZWNjOWVlMGRkZjMwMDI4OWNkNTU1NWMifQ=="/>
  </w:docVars>
  <w:rsids>
    <w:rsidRoot w:val="00172A27"/>
    <w:rsid w:val="000B6562"/>
    <w:rsid w:val="0016328A"/>
    <w:rsid w:val="00247147"/>
    <w:rsid w:val="003E5582"/>
    <w:rsid w:val="003F0985"/>
    <w:rsid w:val="00423439"/>
    <w:rsid w:val="004F2E4E"/>
    <w:rsid w:val="00507FC8"/>
    <w:rsid w:val="00740F12"/>
    <w:rsid w:val="008576A6"/>
    <w:rsid w:val="008815D9"/>
    <w:rsid w:val="0091401D"/>
    <w:rsid w:val="00BC0990"/>
    <w:rsid w:val="00BF7846"/>
    <w:rsid w:val="00C83C87"/>
    <w:rsid w:val="00CF1D8B"/>
    <w:rsid w:val="00D87E66"/>
    <w:rsid w:val="00EA1B2A"/>
    <w:rsid w:val="00ED60E4"/>
    <w:rsid w:val="00F52AF7"/>
    <w:rsid w:val="00F8780D"/>
    <w:rsid w:val="046C3066"/>
    <w:rsid w:val="052E78A9"/>
    <w:rsid w:val="07B74F40"/>
    <w:rsid w:val="124B6B26"/>
    <w:rsid w:val="15120570"/>
    <w:rsid w:val="175D4026"/>
    <w:rsid w:val="18F056CA"/>
    <w:rsid w:val="19F63627"/>
    <w:rsid w:val="1A37671F"/>
    <w:rsid w:val="1DE9023A"/>
    <w:rsid w:val="1E873920"/>
    <w:rsid w:val="26995AE5"/>
    <w:rsid w:val="29814FE4"/>
    <w:rsid w:val="330E3976"/>
    <w:rsid w:val="3BC06C60"/>
    <w:rsid w:val="3C427E99"/>
    <w:rsid w:val="42BF3C8B"/>
    <w:rsid w:val="49017D73"/>
    <w:rsid w:val="4C56639C"/>
    <w:rsid w:val="51F34DC5"/>
    <w:rsid w:val="58D436E7"/>
    <w:rsid w:val="64AF643C"/>
    <w:rsid w:val="6F665B30"/>
    <w:rsid w:val="6FF65764"/>
    <w:rsid w:val="72263C29"/>
    <w:rsid w:val="79C52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b/>
      <w:kern w:val="0"/>
      <w:sz w:val="36"/>
      <w:szCs w:val="36"/>
      <w:lang w:val="en-US" w:eastAsia="zh-CN"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697</Words>
  <Characters>737</Characters>
  <Lines>6</Lines>
  <Paragraphs>1</Paragraphs>
  <TotalTime>2</TotalTime>
  <ScaleCrop>false</ScaleCrop>
  <LinksUpToDate>false</LinksUpToDate>
  <CharactersWithSpaces>749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2012-10-29T11:06:00Z</dcterms:created>
  <dc:creator>IBM</dc:creator>
  <cp:lastModifiedBy>user</cp:lastModifiedBy>
  <cp:lastPrinted>2013-05-28T10:02:00Z</cp:lastPrinted>
  <dcterms:modified xsi:type="dcterms:W3CDTF">2024-10-30T16:53:17Z</dcterms:modified>
  <dc:title>附件2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2F26404358B648C7973062CF59B4FC99</vt:lpwstr>
  </property>
</Properties>
</file>