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楷体" w:hAnsi="楷体" w:eastAsia="楷体" w:cs="楷体"/>
          <w:color w:val="auto"/>
          <w:sz w:val="30"/>
          <w:szCs w:val="30"/>
        </w:rPr>
      </w:pPr>
    </w:p>
    <w:p>
      <w:pPr>
        <w:spacing w:line="600" w:lineRule="exact"/>
        <w:jc w:val="center"/>
        <w:rPr>
          <w:rFonts w:hint="eastAsia" w:ascii="宋体" w:hAnsi="宋体" w:cs="宋体"/>
          <w:b/>
          <w:bCs/>
          <w:color w:val="auto"/>
          <w:sz w:val="40"/>
          <w:szCs w:val="32"/>
        </w:rPr>
      </w:pPr>
      <w:r>
        <w:rPr>
          <w:rFonts w:hint="eastAsia" w:ascii="宋体" w:hAnsi="宋体" w:cs="宋体"/>
          <w:b/>
          <w:bCs/>
          <w:color w:val="auto"/>
          <w:sz w:val="40"/>
          <w:szCs w:val="32"/>
        </w:rPr>
        <w:t>赣州市南康区第二幼儿园2020年度部门决算</w:t>
      </w:r>
    </w:p>
    <w:p>
      <w:pPr>
        <w:spacing w:line="600" w:lineRule="exact"/>
        <w:jc w:val="center"/>
        <w:rPr>
          <w:rFonts w:hint="eastAsia" w:ascii="黑体" w:eastAsia="黑体"/>
          <w:color w:val="auto"/>
          <w:sz w:val="44"/>
          <w:szCs w:val="36"/>
        </w:rPr>
      </w:pPr>
    </w:p>
    <w:p>
      <w:pPr>
        <w:spacing w:line="600" w:lineRule="exact"/>
        <w:jc w:val="center"/>
        <w:rPr>
          <w:rFonts w:hint="eastAsia" w:ascii="宋体" w:hAnsi="宋体" w:cs="宋体"/>
          <w:b/>
          <w:bCs/>
          <w:color w:val="auto"/>
          <w:sz w:val="40"/>
          <w:szCs w:val="36"/>
        </w:rPr>
      </w:pPr>
      <w:r>
        <w:rPr>
          <w:rFonts w:hint="eastAsia" w:ascii="宋体" w:hAnsi="宋体" w:cs="宋体"/>
          <w:b/>
          <w:bCs/>
          <w:color w:val="auto"/>
          <w:sz w:val="40"/>
          <w:szCs w:val="36"/>
        </w:rPr>
        <w:t>目    录</w:t>
      </w:r>
    </w:p>
    <w:p>
      <w:pPr>
        <w:widowControl/>
        <w:spacing w:line="600" w:lineRule="exact"/>
        <w:ind w:firstLine="640"/>
        <w:jc w:val="left"/>
        <w:rPr>
          <w:rFonts w:hint="eastAsia" w:ascii="仿宋_GB2312" w:eastAsia="仿宋_GB2312"/>
          <w:color w:val="auto"/>
          <w:sz w:val="32"/>
          <w:szCs w:val="30"/>
        </w:rPr>
      </w:pPr>
    </w:p>
    <w:p>
      <w:pPr>
        <w:widowControl/>
        <w:spacing w:line="600" w:lineRule="exact"/>
        <w:ind w:firstLine="640"/>
        <w:jc w:val="left"/>
        <w:rPr>
          <w:rFonts w:hint="eastAsia" w:ascii="黑体" w:hAnsi="宋体" w:eastAsia="黑体" w:cs="黑体"/>
          <w:b/>
          <w:color w:val="auto"/>
          <w:sz w:val="32"/>
          <w:szCs w:val="32"/>
        </w:rPr>
      </w:pPr>
      <w:r>
        <w:rPr>
          <w:rFonts w:hint="eastAsia" w:ascii="黑体" w:hAnsi="宋体" w:eastAsia="黑体" w:cs="黑体"/>
          <w:b/>
          <w:color w:val="auto"/>
          <w:sz w:val="32"/>
          <w:szCs w:val="32"/>
          <w:lang w:bidi="ar"/>
        </w:rPr>
        <w:t xml:space="preserve">第一部分  </w:t>
      </w:r>
      <w:r>
        <w:rPr>
          <w:rFonts w:hint="eastAsia" w:ascii="黑体" w:hAnsi="宋体" w:eastAsia="黑体" w:cs="黑体"/>
          <w:b/>
          <w:bCs/>
          <w:color w:val="auto"/>
          <w:sz w:val="32"/>
          <w:szCs w:val="32"/>
          <w:lang w:bidi="ar"/>
        </w:rPr>
        <w:t>单位概况</w:t>
      </w:r>
    </w:p>
    <w:p>
      <w:pPr>
        <w:widowControl/>
        <w:spacing w:line="600" w:lineRule="exact"/>
        <w:ind w:firstLine="640"/>
        <w:jc w:val="left"/>
        <w:rPr>
          <w:rFonts w:hint="eastAsia" w:ascii="仿宋" w:hAnsi="仿宋" w:eastAsia="仿宋" w:cs="仿宋"/>
          <w:color w:val="auto"/>
          <w:sz w:val="32"/>
          <w:szCs w:val="30"/>
        </w:rPr>
      </w:pPr>
      <w:r>
        <w:rPr>
          <w:rFonts w:hint="eastAsia" w:ascii="仿宋_GB2312" w:hAnsi="Times New Roman" w:eastAsia="仿宋_GB2312" w:cs="仿宋_GB2312"/>
          <w:b/>
          <w:color w:val="auto"/>
          <w:sz w:val="32"/>
          <w:szCs w:val="30"/>
          <w:lang w:bidi="ar"/>
        </w:rPr>
        <w:t xml:space="preserve">    </w:t>
      </w:r>
      <w:r>
        <w:rPr>
          <w:rFonts w:hint="eastAsia" w:ascii="仿宋" w:hAnsi="仿宋" w:eastAsia="仿宋" w:cs="仿宋"/>
          <w:color w:val="auto"/>
          <w:sz w:val="32"/>
          <w:szCs w:val="30"/>
          <w:lang w:bidi="ar"/>
        </w:rPr>
        <w:t>一、单位主要职责</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 xml:space="preserve">    二、单位基本情况</w:t>
      </w:r>
    </w:p>
    <w:p>
      <w:pPr>
        <w:widowControl/>
        <w:spacing w:line="600" w:lineRule="exact"/>
        <w:ind w:firstLine="640"/>
        <w:jc w:val="left"/>
        <w:rPr>
          <w:rFonts w:hint="eastAsia" w:ascii="黑体" w:hAnsi="宋体" w:eastAsia="黑体" w:cs="黑体"/>
          <w:color w:val="auto"/>
          <w:sz w:val="32"/>
          <w:szCs w:val="32"/>
        </w:rPr>
      </w:pPr>
      <w:r>
        <w:rPr>
          <w:rFonts w:hint="eastAsia" w:ascii="黑体" w:hAnsi="宋体" w:eastAsia="黑体" w:cs="黑体"/>
          <w:color w:val="auto"/>
          <w:sz w:val="32"/>
          <w:szCs w:val="32"/>
          <w:lang w:bidi="ar"/>
        </w:rPr>
        <w:t>第二部分  2020年度部门决算表</w:t>
      </w:r>
    </w:p>
    <w:p>
      <w:pPr>
        <w:widowControl/>
        <w:spacing w:line="600" w:lineRule="exact"/>
        <w:ind w:firstLine="1280" w:firstLineChars="400"/>
        <w:jc w:val="left"/>
        <w:rPr>
          <w:rFonts w:hint="eastAsia" w:ascii="仿宋" w:hAnsi="仿宋" w:eastAsia="仿宋" w:cs="仿宋"/>
          <w:color w:val="auto"/>
          <w:sz w:val="32"/>
          <w:szCs w:val="30"/>
        </w:rPr>
      </w:pPr>
      <w:r>
        <w:rPr>
          <w:rFonts w:hint="eastAsia" w:ascii="仿宋" w:hAnsi="仿宋" w:eastAsia="仿宋" w:cs="仿宋"/>
          <w:color w:val="auto"/>
          <w:sz w:val="32"/>
          <w:szCs w:val="30"/>
          <w:lang w:bidi="ar"/>
        </w:rPr>
        <w:t>一、收入支出决算总表</w:t>
      </w:r>
    </w:p>
    <w:p>
      <w:pPr>
        <w:widowControl/>
        <w:spacing w:line="600" w:lineRule="exact"/>
        <w:ind w:firstLine="1280" w:firstLineChars="400"/>
        <w:jc w:val="left"/>
        <w:rPr>
          <w:rFonts w:hint="eastAsia" w:ascii="仿宋" w:hAnsi="仿宋" w:eastAsia="仿宋" w:cs="仿宋"/>
          <w:color w:val="auto"/>
          <w:sz w:val="32"/>
          <w:szCs w:val="30"/>
        </w:rPr>
      </w:pPr>
      <w:r>
        <w:rPr>
          <w:rFonts w:hint="eastAsia" w:ascii="仿宋" w:hAnsi="仿宋" w:eastAsia="仿宋" w:cs="仿宋"/>
          <w:color w:val="auto"/>
          <w:sz w:val="32"/>
          <w:szCs w:val="30"/>
          <w:lang w:bidi="ar"/>
        </w:rPr>
        <w:t>二、收入决算表</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 xml:space="preserve">    三、支出决算表</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 xml:space="preserve">    四、财政拨款收入支出决算总表</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 xml:space="preserve">    五、一般公共预算财政拨款支出决算表</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 xml:space="preserve">    六、一般公共预算财政拨款基本支出决算表</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 xml:space="preserve">    七、一般公共预算财政拨款“三公”经费支出决算</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表</w:t>
      </w:r>
    </w:p>
    <w:p>
      <w:pPr>
        <w:widowControl/>
        <w:spacing w:line="600" w:lineRule="exact"/>
        <w:ind w:firstLine="64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 xml:space="preserve">    八、政府性基金预算财政拨款收入支出决算表</w:t>
      </w:r>
    </w:p>
    <w:p>
      <w:pPr>
        <w:widowControl/>
        <w:spacing w:line="600" w:lineRule="exact"/>
        <w:ind w:left="128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九、</w:t>
      </w:r>
      <w:r>
        <w:rPr>
          <w:rFonts w:hint="eastAsia" w:ascii="仿宋" w:hAnsi="仿宋" w:eastAsia="仿宋" w:cs="宋体"/>
          <w:color w:val="auto"/>
          <w:kern w:val="0"/>
          <w:sz w:val="32"/>
          <w:szCs w:val="32"/>
        </w:rPr>
        <w:t>国有资本经营预算财政拨款支出决算表</w:t>
      </w:r>
    </w:p>
    <w:p>
      <w:pPr>
        <w:widowControl/>
        <w:spacing w:line="600" w:lineRule="exact"/>
        <w:ind w:firstLine="1280" w:firstLineChars="40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bidi="ar"/>
        </w:rPr>
        <w:t>十</w:t>
      </w:r>
      <w:r>
        <w:rPr>
          <w:rFonts w:ascii="仿宋" w:hAnsi="仿宋" w:eastAsia="仿宋" w:cs="宋体"/>
          <w:color w:val="auto"/>
          <w:kern w:val="0"/>
          <w:sz w:val="32"/>
          <w:szCs w:val="32"/>
          <w:lang w:bidi="ar"/>
        </w:rPr>
        <w:t>、</w:t>
      </w:r>
      <w:r>
        <w:rPr>
          <w:rFonts w:hint="eastAsia" w:ascii="仿宋" w:hAnsi="仿宋" w:eastAsia="仿宋" w:cs="宋体"/>
          <w:color w:val="auto"/>
          <w:kern w:val="0"/>
          <w:sz w:val="32"/>
          <w:szCs w:val="32"/>
          <w:lang w:bidi="ar"/>
        </w:rPr>
        <w:t>国有资产占用情况表</w:t>
      </w:r>
    </w:p>
    <w:p>
      <w:pPr>
        <w:widowControl/>
        <w:spacing w:line="600" w:lineRule="exact"/>
        <w:jc w:val="left"/>
        <w:rPr>
          <w:rFonts w:hint="eastAsia" w:ascii="黑体" w:hAnsi="黑体" w:eastAsia="黑体"/>
          <w:color w:val="auto"/>
          <w:sz w:val="32"/>
          <w:szCs w:val="32"/>
        </w:rPr>
      </w:pPr>
      <w:r>
        <w:rPr>
          <w:rFonts w:hint="eastAsia" w:ascii="仿宋" w:hAnsi="仿宋" w:eastAsia="仿宋" w:cs="宋体"/>
          <w:color w:val="auto"/>
          <w:kern w:val="0"/>
          <w:sz w:val="32"/>
          <w:szCs w:val="32"/>
        </w:rPr>
        <w:t xml:space="preserve">    </w:t>
      </w:r>
      <w:r>
        <w:rPr>
          <w:rFonts w:hint="eastAsia" w:ascii="黑体" w:hAnsi="黑体" w:eastAsia="黑体"/>
          <w:color w:val="auto"/>
          <w:sz w:val="32"/>
          <w:szCs w:val="32"/>
        </w:rPr>
        <w:t>第三部分  2020年度部门决算情况说明</w:t>
      </w:r>
    </w:p>
    <w:p>
      <w:pPr>
        <w:widowControl/>
        <w:spacing w:line="600" w:lineRule="exact"/>
        <w:ind w:firstLine="1280" w:firstLineChars="400"/>
        <w:jc w:val="left"/>
        <w:rPr>
          <w:rFonts w:hint="eastAsia" w:ascii="仿宋" w:hAnsi="仿宋" w:eastAsia="仿宋"/>
          <w:color w:val="auto"/>
          <w:sz w:val="32"/>
          <w:szCs w:val="30"/>
        </w:rPr>
      </w:pPr>
      <w:r>
        <w:rPr>
          <w:rFonts w:hint="eastAsia" w:ascii="仿宋" w:hAnsi="仿宋" w:eastAsia="仿宋"/>
          <w:color w:val="auto"/>
          <w:sz w:val="32"/>
          <w:szCs w:val="30"/>
        </w:rPr>
        <w:t>一、收入决算情况说明</w:t>
      </w:r>
    </w:p>
    <w:p>
      <w:pPr>
        <w:widowControl/>
        <w:spacing w:line="600" w:lineRule="exact"/>
        <w:ind w:firstLine="1280" w:firstLineChars="400"/>
        <w:jc w:val="left"/>
        <w:rPr>
          <w:rFonts w:hint="eastAsia" w:ascii="仿宋" w:hAnsi="仿宋" w:eastAsia="仿宋"/>
          <w:color w:val="auto"/>
          <w:sz w:val="32"/>
          <w:szCs w:val="30"/>
        </w:rPr>
      </w:pPr>
      <w:r>
        <w:rPr>
          <w:rFonts w:hint="eastAsia" w:ascii="仿宋" w:hAnsi="仿宋" w:eastAsia="仿宋"/>
          <w:color w:val="auto"/>
          <w:sz w:val="32"/>
          <w:szCs w:val="30"/>
        </w:rPr>
        <w:t>二、支出决算情况说明</w:t>
      </w:r>
    </w:p>
    <w:p>
      <w:pPr>
        <w:widowControl/>
        <w:spacing w:line="600" w:lineRule="exact"/>
        <w:ind w:firstLine="1280" w:firstLineChars="400"/>
        <w:jc w:val="left"/>
        <w:rPr>
          <w:rFonts w:hint="eastAsia" w:ascii="仿宋" w:hAnsi="仿宋" w:eastAsia="仿宋"/>
          <w:color w:val="auto"/>
          <w:sz w:val="32"/>
          <w:szCs w:val="30"/>
        </w:rPr>
      </w:pPr>
      <w:r>
        <w:rPr>
          <w:rFonts w:hint="eastAsia" w:ascii="仿宋" w:hAnsi="仿宋" w:eastAsia="仿宋"/>
          <w:color w:val="auto"/>
          <w:sz w:val="32"/>
          <w:szCs w:val="30"/>
        </w:rPr>
        <w:t>三、财政拨款支出决算情况说明</w:t>
      </w:r>
    </w:p>
    <w:p>
      <w:pPr>
        <w:widowControl/>
        <w:spacing w:line="600" w:lineRule="exact"/>
        <w:ind w:firstLine="1280" w:firstLineChars="400"/>
        <w:jc w:val="left"/>
        <w:rPr>
          <w:rFonts w:hint="eastAsia" w:ascii="仿宋" w:hAnsi="仿宋" w:eastAsia="仿宋"/>
          <w:color w:val="auto"/>
          <w:sz w:val="32"/>
          <w:szCs w:val="30"/>
        </w:rPr>
      </w:pPr>
      <w:r>
        <w:rPr>
          <w:rFonts w:hint="eastAsia" w:ascii="仿宋" w:hAnsi="仿宋" w:eastAsia="仿宋"/>
          <w:color w:val="auto"/>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color w:val="auto"/>
          <w:sz w:val="32"/>
          <w:szCs w:val="30"/>
        </w:rPr>
      </w:pPr>
      <w:r>
        <w:rPr>
          <w:rFonts w:hint="eastAsia" w:ascii="仿宋" w:hAnsi="仿宋" w:eastAsia="仿宋"/>
          <w:color w:val="auto"/>
          <w:sz w:val="32"/>
          <w:szCs w:val="30"/>
        </w:rPr>
        <w:t>五、一般公共预算财政拨款“三公”经费支出决算</w:t>
      </w:r>
    </w:p>
    <w:p>
      <w:pPr>
        <w:widowControl/>
        <w:spacing w:line="600" w:lineRule="exact"/>
        <w:jc w:val="left"/>
        <w:rPr>
          <w:rFonts w:hint="eastAsia" w:ascii="仿宋" w:hAnsi="仿宋" w:eastAsia="仿宋"/>
          <w:color w:val="auto"/>
          <w:sz w:val="32"/>
          <w:szCs w:val="30"/>
        </w:rPr>
      </w:pPr>
      <w:r>
        <w:rPr>
          <w:rFonts w:hint="eastAsia" w:ascii="仿宋" w:hAnsi="仿宋" w:eastAsia="仿宋"/>
          <w:color w:val="auto"/>
          <w:sz w:val="32"/>
          <w:szCs w:val="30"/>
        </w:rPr>
        <w:t xml:space="preserve">    情况说明</w:t>
      </w:r>
    </w:p>
    <w:p>
      <w:pPr>
        <w:widowControl/>
        <w:spacing w:line="600" w:lineRule="exact"/>
        <w:ind w:firstLine="1280" w:firstLineChars="400"/>
        <w:jc w:val="left"/>
        <w:rPr>
          <w:rFonts w:hint="eastAsia" w:ascii="仿宋" w:hAnsi="仿宋" w:eastAsia="仿宋"/>
          <w:color w:val="auto"/>
          <w:sz w:val="32"/>
          <w:szCs w:val="30"/>
        </w:rPr>
      </w:pPr>
      <w:r>
        <w:rPr>
          <w:rFonts w:hint="eastAsia" w:ascii="仿宋" w:hAnsi="仿宋" w:eastAsia="仿宋"/>
          <w:color w:val="auto"/>
          <w:sz w:val="32"/>
          <w:szCs w:val="30"/>
        </w:rPr>
        <w:t>六、机关运行经费支出情况说明</w:t>
      </w:r>
    </w:p>
    <w:p>
      <w:pPr>
        <w:widowControl/>
        <w:spacing w:line="600" w:lineRule="exact"/>
        <w:ind w:firstLine="640"/>
        <w:jc w:val="left"/>
        <w:rPr>
          <w:rFonts w:hint="eastAsia" w:ascii="仿宋" w:hAnsi="仿宋" w:eastAsia="仿宋"/>
          <w:color w:val="auto"/>
          <w:sz w:val="32"/>
          <w:szCs w:val="30"/>
        </w:rPr>
      </w:pPr>
      <w:r>
        <w:rPr>
          <w:rFonts w:hint="eastAsia" w:ascii="仿宋" w:hAnsi="仿宋" w:eastAsia="仿宋"/>
          <w:color w:val="auto"/>
          <w:sz w:val="32"/>
          <w:szCs w:val="30"/>
        </w:rPr>
        <w:t xml:space="preserve">    七、政府采购支出情况说明</w:t>
      </w:r>
    </w:p>
    <w:p>
      <w:pPr>
        <w:widowControl/>
        <w:spacing w:line="600" w:lineRule="exact"/>
        <w:ind w:firstLine="640"/>
        <w:jc w:val="left"/>
        <w:rPr>
          <w:rFonts w:hint="eastAsia" w:ascii="仿宋" w:hAnsi="仿宋" w:eastAsia="仿宋"/>
          <w:color w:val="auto"/>
          <w:sz w:val="32"/>
          <w:szCs w:val="30"/>
        </w:rPr>
      </w:pPr>
      <w:r>
        <w:rPr>
          <w:rFonts w:hint="eastAsia" w:ascii="仿宋" w:hAnsi="仿宋" w:eastAsia="仿宋"/>
          <w:color w:val="auto"/>
          <w:sz w:val="32"/>
          <w:szCs w:val="30"/>
        </w:rPr>
        <w:t xml:space="preserve">    八、国有资产占用情况说明</w:t>
      </w:r>
    </w:p>
    <w:p>
      <w:pPr>
        <w:widowControl/>
        <w:spacing w:line="600" w:lineRule="exact"/>
        <w:ind w:firstLine="640"/>
        <w:jc w:val="left"/>
        <w:rPr>
          <w:rFonts w:hint="eastAsia" w:ascii="仿宋" w:hAnsi="仿宋" w:eastAsia="仿宋"/>
          <w:color w:val="auto"/>
          <w:sz w:val="32"/>
          <w:szCs w:val="30"/>
        </w:rPr>
      </w:pPr>
      <w:r>
        <w:rPr>
          <w:rFonts w:hint="eastAsia" w:ascii="仿宋" w:hAnsi="仿宋" w:eastAsia="仿宋"/>
          <w:color w:val="auto"/>
          <w:sz w:val="32"/>
          <w:szCs w:val="30"/>
        </w:rPr>
        <w:t xml:space="preserve">    九、预算绩效情况说明</w:t>
      </w:r>
    </w:p>
    <w:p>
      <w:pPr>
        <w:widowControl/>
        <w:spacing w:line="600" w:lineRule="exact"/>
        <w:ind w:firstLine="640"/>
        <w:jc w:val="left"/>
        <w:rPr>
          <w:rFonts w:ascii="仿宋" w:hAnsi="仿宋" w:eastAsia="仿宋"/>
          <w:color w:val="auto"/>
          <w:sz w:val="32"/>
          <w:szCs w:val="30"/>
        </w:rPr>
      </w:pPr>
      <w:r>
        <w:rPr>
          <w:rFonts w:hint="eastAsia" w:ascii="黑体" w:hAnsi="黑体" w:eastAsia="黑体"/>
          <w:color w:val="auto"/>
          <w:sz w:val="32"/>
          <w:szCs w:val="32"/>
        </w:rPr>
        <w:t>第四部分  名词解释</w:t>
      </w: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ind w:firstLine="630"/>
        <w:jc w:val="center"/>
        <w:rPr>
          <w:rFonts w:hint="eastAsia" w:ascii="宋体" w:hAnsi="宋体"/>
          <w:b/>
          <w:color w:val="auto"/>
          <w:sz w:val="36"/>
          <w:szCs w:val="36"/>
        </w:rPr>
      </w:pPr>
    </w:p>
    <w:p>
      <w:pPr>
        <w:widowControl/>
        <w:spacing w:line="580" w:lineRule="exact"/>
        <w:jc w:val="center"/>
        <w:rPr>
          <w:rFonts w:hint="eastAsia" w:ascii="宋体" w:hAnsi="宋体"/>
          <w:b/>
          <w:color w:val="auto"/>
          <w:sz w:val="32"/>
          <w:szCs w:val="30"/>
        </w:rPr>
      </w:pPr>
    </w:p>
    <w:p>
      <w:pPr>
        <w:widowControl/>
        <w:spacing w:line="580" w:lineRule="exact"/>
        <w:jc w:val="center"/>
        <w:rPr>
          <w:rFonts w:hint="eastAsia" w:ascii="宋体" w:hAnsi="宋体" w:cs="宋体"/>
          <w:b/>
          <w:color w:val="auto"/>
          <w:sz w:val="32"/>
          <w:szCs w:val="30"/>
          <w:lang w:bidi="ar"/>
        </w:rPr>
      </w:pPr>
    </w:p>
    <w:p>
      <w:pPr>
        <w:widowControl/>
        <w:spacing w:line="580" w:lineRule="exact"/>
        <w:jc w:val="center"/>
        <w:rPr>
          <w:rFonts w:hint="eastAsia" w:ascii="宋体" w:hAnsi="宋体" w:cs="宋体"/>
          <w:b/>
          <w:color w:val="auto"/>
          <w:sz w:val="32"/>
          <w:szCs w:val="30"/>
        </w:rPr>
      </w:pPr>
      <w:r>
        <w:rPr>
          <w:rFonts w:hint="eastAsia" w:ascii="宋体" w:hAnsi="宋体" w:cs="宋体"/>
          <w:b/>
          <w:color w:val="auto"/>
          <w:sz w:val="32"/>
          <w:szCs w:val="30"/>
          <w:lang w:bidi="ar"/>
        </w:rPr>
        <w:t xml:space="preserve">第一部分  </w:t>
      </w:r>
      <w:r>
        <w:rPr>
          <w:rFonts w:hint="eastAsia" w:ascii="宋体" w:hAnsi="宋体" w:cs="宋体"/>
          <w:b/>
          <w:color w:val="auto"/>
          <w:sz w:val="32"/>
          <w:szCs w:val="32"/>
          <w:lang w:bidi="ar"/>
        </w:rPr>
        <w:t>南康区第二幼儿园单位</w:t>
      </w:r>
      <w:r>
        <w:rPr>
          <w:rFonts w:hint="eastAsia" w:ascii="宋体" w:hAnsi="宋体" w:cs="宋体"/>
          <w:b/>
          <w:color w:val="auto"/>
          <w:sz w:val="32"/>
          <w:szCs w:val="30"/>
          <w:lang w:bidi="ar"/>
        </w:rPr>
        <w:t>概况</w:t>
      </w:r>
    </w:p>
    <w:p>
      <w:pPr>
        <w:ind w:firstLine="630"/>
        <w:jc w:val="center"/>
        <w:rPr>
          <w:color w:val="auto"/>
          <w:sz w:val="32"/>
          <w:szCs w:val="32"/>
        </w:rPr>
      </w:pPr>
    </w:p>
    <w:p>
      <w:pPr>
        <w:ind w:firstLine="630"/>
        <w:jc w:val="left"/>
        <w:rPr>
          <w:rFonts w:hint="eastAsia" w:ascii="黑体" w:hAnsi="宋体" w:eastAsia="黑体" w:cs="黑体"/>
          <w:color w:val="auto"/>
          <w:sz w:val="30"/>
          <w:szCs w:val="30"/>
        </w:rPr>
      </w:pPr>
      <w:r>
        <w:rPr>
          <w:rFonts w:hint="eastAsia" w:ascii="黑体" w:hAnsi="宋体" w:eastAsia="黑体" w:cs="黑体"/>
          <w:color w:val="auto"/>
          <w:sz w:val="30"/>
          <w:szCs w:val="30"/>
          <w:lang w:bidi="ar"/>
        </w:rPr>
        <w:t>一、单位主要职能</w:t>
      </w:r>
    </w:p>
    <w:p>
      <w:pPr>
        <w:ind w:firstLine="630"/>
        <w:jc w:val="left"/>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为学龄前儿童提供保育和教育服务，对3—6岁的幼儿进行保育教育工作，为广大家长安心工作、学习提供便利条件；对幼儿实施德、智、体、美全面发展的教育；开展适宜于幼儿的文体活动，丰富幼儿生活，多方面培养幼儿的兴趣，为基础教育奠定基础，科学合理地安排幼儿饮食起居和常规活动，保证幼儿健康成长。</w:t>
      </w:r>
    </w:p>
    <w:p>
      <w:pPr>
        <w:ind w:firstLine="630"/>
        <w:jc w:val="left"/>
        <w:rPr>
          <w:rFonts w:hint="eastAsia"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val="en-US" w:eastAsia="zh-CN"/>
        </w:rPr>
        <w:t>单位</w:t>
      </w:r>
      <w:bookmarkStart w:id="0" w:name="_GoBack"/>
      <w:bookmarkEnd w:id="0"/>
      <w:r>
        <w:rPr>
          <w:rFonts w:hint="eastAsia" w:ascii="黑体" w:hAnsi="黑体" w:eastAsia="黑体"/>
          <w:color w:val="auto"/>
          <w:sz w:val="30"/>
          <w:szCs w:val="30"/>
        </w:rPr>
        <w:t>基本情况</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纳入本套部门决算汇编范围的单位共1个，包括：赣州市南康区第二幼儿园。</w:t>
      </w:r>
      <w:r>
        <w:rPr>
          <w:rFonts w:hint="eastAsia" w:ascii="仿宋" w:hAnsi="仿宋" w:eastAsia="仿宋" w:cs="仿宋"/>
          <w:sz w:val="30"/>
          <w:szCs w:val="30"/>
          <w:lang w:bidi="ar"/>
        </w:rPr>
        <w:t>本</w:t>
      </w:r>
      <w:r>
        <w:rPr>
          <w:rFonts w:hint="eastAsia" w:ascii="仿宋" w:hAnsi="仿宋" w:eastAsia="仿宋" w:cs="仿宋"/>
          <w:sz w:val="30"/>
          <w:szCs w:val="30"/>
          <w:lang w:val="en-US" w:eastAsia="zh-CN" w:bidi="ar"/>
        </w:rPr>
        <w:t>单位</w:t>
      </w:r>
      <w:r>
        <w:rPr>
          <w:rFonts w:hint="eastAsia" w:ascii="仿宋" w:hAnsi="仿宋" w:eastAsia="仿宋" w:cs="仿宋"/>
          <w:sz w:val="30"/>
          <w:szCs w:val="30"/>
          <w:lang w:bidi="ar"/>
        </w:rPr>
        <w:t>内设机构1个。</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2020年年末实有人数615人，其中在职人员26人，离休人员0人，退休人员1人；年末其他人员0人；年末学生人数544人。</w:t>
      </w:r>
    </w:p>
    <w:p>
      <w:pPr>
        <w:ind w:firstLine="630"/>
        <w:jc w:val="left"/>
        <w:rPr>
          <w:rFonts w:hint="eastAsia" w:ascii="仿宋" w:hAnsi="仿宋" w:eastAsia="仿宋"/>
          <w:color w:val="auto"/>
          <w:sz w:val="30"/>
          <w:szCs w:val="30"/>
        </w:rPr>
      </w:pPr>
    </w:p>
    <w:p>
      <w:pPr>
        <w:widowControl/>
        <w:spacing w:line="600" w:lineRule="exact"/>
        <w:ind w:firstLine="640"/>
        <w:jc w:val="center"/>
        <w:rPr>
          <w:rFonts w:hint="eastAsia" w:ascii="宋体" w:hAnsi="宋体"/>
          <w:b/>
          <w:color w:val="auto"/>
          <w:sz w:val="32"/>
          <w:szCs w:val="32"/>
        </w:rPr>
      </w:pPr>
    </w:p>
    <w:p>
      <w:pPr>
        <w:widowControl/>
        <w:spacing w:line="600" w:lineRule="exact"/>
        <w:ind w:firstLine="640"/>
        <w:jc w:val="center"/>
        <w:rPr>
          <w:rFonts w:hint="eastAsia" w:ascii="宋体" w:hAnsi="宋体"/>
          <w:b/>
          <w:color w:val="auto"/>
          <w:sz w:val="32"/>
          <w:szCs w:val="32"/>
        </w:rPr>
      </w:pPr>
    </w:p>
    <w:p>
      <w:pPr>
        <w:widowControl/>
        <w:spacing w:line="600" w:lineRule="exact"/>
        <w:ind w:firstLine="640"/>
        <w:jc w:val="center"/>
        <w:rPr>
          <w:rFonts w:hint="eastAsia" w:ascii="宋体" w:hAnsi="宋体"/>
          <w:b/>
          <w:color w:val="auto"/>
          <w:sz w:val="32"/>
          <w:szCs w:val="32"/>
        </w:rPr>
      </w:pPr>
    </w:p>
    <w:p>
      <w:pPr>
        <w:widowControl/>
        <w:spacing w:line="600" w:lineRule="exact"/>
        <w:ind w:firstLine="640"/>
        <w:jc w:val="center"/>
        <w:rPr>
          <w:rFonts w:hint="eastAsia" w:ascii="宋体" w:hAnsi="宋体"/>
          <w:b/>
          <w:color w:val="auto"/>
          <w:sz w:val="32"/>
          <w:szCs w:val="32"/>
        </w:rPr>
      </w:pPr>
    </w:p>
    <w:p>
      <w:pPr>
        <w:widowControl/>
        <w:spacing w:line="600" w:lineRule="exact"/>
        <w:ind w:firstLine="640"/>
        <w:jc w:val="center"/>
        <w:rPr>
          <w:rFonts w:ascii="宋体" w:hAnsi="宋体"/>
          <w:b/>
          <w:color w:val="auto"/>
          <w:sz w:val="32"/>
          <w:szCs w:val="32"/>
        </w:rPr>
      </w:pPr>
    </w:p>
    <w:p>
      <w:pPr>
        <w:pStyle w:val="2"/>
        <w:rPr>
          <w:color w:val="auto"/>
        </w:rPr>
      </w:pPr>
    </w:p>
    <w:p>
      <w:pPr>
        <w:pStyle w:val="2"/>
        <w:rPr>
          <w:rFonts w:hint="eastAsia"/>
          <w:color w:val="auto"/>
        </w:rPr>
      </w:pPr>
    </w:p>
    <w:p>
      <w:pPr>
        <w:widowControl/>
        <w:spacing w:line="600" w:lineRule="exact"/>
        <w:rPr>
          <w:rFonts w:hint="eastAsia" w:ascii="宋体" w:hAnsi="宋体"/>
          <w:b/>
          <w:color w:val="auto"/>
          <w:sz w:val="32"/>
          <w:szCs w:val="32"/>
        </w:rPr>
      </w:pPr>
    </w:p>
    <w:p>
      <w:pPr>
        <w:widowControl/>
        <w:spacing w:line="600" w:lineRule="exact"/>
        <w:ind w:firstLine="640"/>
        <w:jc w:val="center"/>
        <w:rPr>
          <w:rFonts w:ascii="宋体" w:hAnsi="宋体"/>
          <w:b/>
          <w:color w:val="auto"/>
          <w:sz w:val="32"/>
          <w:szCs w:val="32"/>
        </w:rPr>
      </w:pPr>
      <w:r>
        <w:rPr>
          <w:rFonts w:hint="eastAsia" w:ascii="宋体" w:hAnsi="宋体"/>
          <w:b/>
          <w:color w:val="auto"/>
          <w:sz w:val="32"/>
          <w:szCs w:val="32"/>
        </w:rPr>
        <w:t>第二部分  2020年度部门决算表</w:t>
      </w:r>
    </w:p>
    <w:p>
      <w:pPr>
        <w:pStyle w:val="2"/>
        <w:ind w:firstLine="0" w:firstLineChars="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drawing>
          <wp:inline distT="0" distB="0" distL="114300" distR="114300">
            <wp:extent cx="5650865" cy="4792980"/>
            <wp:effectExtent l="0" t="0" r="6985" b="7620"/>
            <wp:docPr id="1" name="图片 13" descr="1650327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1650327728(1)"/>
                    <pic:cNvPicPr>
                      <a:picLocks noChangeAspect="1"/>
                    </pic:cNvPicPr>
                  </pic:nvPicPr>
                  <pic:blipFill>
                    <a:blip r:embed="rId5"/>
                    <a:stretch>
                      <a:fillRect/>
                    </a:stretch>
                  </pic:blipFill>
                  <pic:spPr>
                    <a:xfrm>
                      <a:off x="0" y="0"/>
                      <a:ext cx="5650865" cy="4792980"/>
                    </a:xfrm>
                    <a:prstGeom prst="rect">
                      <a:avLst/>
                    </a:prstGeom>
                    <a:noFill/>
                    <a:ln>
                      <a:noFill/>
                    </a:ln>
                  </pic:spPr>
                </pic:pic>
              </a:graphicData>
            </a:graphic>
          </wp:inline>
        </w:drawing>
      </w:r>
    </w:p>
    <w:p>
      <w:pPr>
        <w:pStyle w:val="2"/>
        <w:ind w:firstLine="0" w:firstLineChars="0"/>
        <w:rPr>
          <w:rFonts w:hint="eastAsia" w:ascii="宋体" w:hAnsi="宋体" w:cs="宋体"/>
          <w:b/>
          <w:color w:val="auto"/>
          <w:sz w:val="32"/>
          <w:szCs w:val="32"/>
        </w:rPr>
      </w:pPr>
    </w:p>
    <w:p>
      <w:pPr>
        <w:pStyle w:val="2"/>
        <w:ind w:firstLine="0" w:firstLineChars="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drawing>
          <wp:inline distT="0" distB="0" distL="114300" distR="114300">
            <wp:extent cx="5642610" cy="2907030"/>
            <wp:effectExtent l="0" t="0" r="15240" b="7620"/>
            <wp:docPr id="2" name="图片 14" descr="1650328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1650328339(1)"/>
                    <pic:cNvPicPr>
                      <a:picLocks noChangeAspect="1"/>
                    </pic:cNvPicPr>
                  </pic:nvPicPr>
                  <pic:blipFill>
                    <a:blip r:embed="rId6"/>
                    <a:stretch>
                      <a:fillRect/>
                    </a:stretch>
                  </pic:blipFill>
                  <pic:spPr>
                    <a:xfrm>
                      <a:off x="0" y="0"/>
                      <a:ext cx="5642610" cy="2907030"/>
                    </a:xfrm>
                    <a:prstGeom prst="rect">
                      <a:avLst/>
                    </a:prstGeom>
                    <a:noFill/>
                    <a:ln>
                      <a:noFill/>
                    </a:ln>
                  </pic:spPr>
                </pic:pic>
              </a:graphicData>
            </a:graphic>
          </wp:inline>
        </w:drawing>
      </w:r>
    </w:p>
    <w:p>
      <w:pPr>
        <w:pStyle w:val="2"/>
        <w:ind w:firstLine="0" w:firstLineChars="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drawing>
          <wp:inline distT="0" distB="0" distL="114300" distR="114300">
            <wp:extent cx="5648325" cy="3207385"/>
            <wp:effectExtent l="0" t="0" r="9525" b="12065"/>
            <wp:docPr id="3" name="图片 15" descr="1650328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1650328548(1)"/>
                    <pic:cNvPicPr>
                      <a:picLocks noChangeAspect="1"/>
                    </pic:cNvPicPr>
                  </pic:nvPicPr>
                  <pic:blipFill>
                    <a:blip r:embed="rId7"/>
                    <a:stretch>
                      <a:fillRect/>
                    </a:stretch>
                  </pic:blipFill>
                  <pic:spPr>
                    <a:xfrm>
                      <a:off x="0" y="0"/>
                      <a:ext cx="5648325" cy="3207385"/>
                    </a:xfrm>
                    <a:prstGeom prst="rect">
                      <a:avLst/>
                    </a:prstGeom>
                    <a:noFill/>
                    <a:ln>
                      <a:noFill/>
                    </a:ln>
                  </pic:spPr>
                </pic:pic>
              </a:graphicData>
            </a:graphic>
          </wp:inline>
        </w:drawing>
      </w:r>
    </w:p>
    <w:p>
      <w:pPr>
        <w:pStyle w:val="2"/>
        <w:ind w:firstLine="0" w:firstLineChars="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drawing>
          <wp:inline distT="0" distB="0" distL="114300" distR="114300">
            <wp:extent cx="5643880" cy="4020820"/>
            <wp:effectExtent l="0" t="0" r="13970" b="17780"/>
            <wp:docPr id="4" name="图片 17" descr="1650328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1650328892(1)"/>
                    <pic:cNvPicPr>
                      <a:picLocks noChangeAspect="1"/>
                    </pic:cNvPicPr>
                  </pic:nvPicPr>
                  <pic:blipFill>
                    <a:blip r:embed="rId8"/>
                    <a:stretch>
                      <a:fillRect/>
                    </a:stretch>
                  </pic:blipFill>
                  <pic:spPr>
                    <a:xfrm>
                      <a:off x="0" y="0"/>
                      <a:ext cx="5643880" cy="4020820"/>
                    </a:xfrm>
                    <a:prstGeom prst="rect">
                      <a:avLst/>
                    </a:prstGeom>
                    <a:noFill/>
                    <a:ln>
                      <a:noFill/>
                    </a:ln>
                  </pic:spPr>
                </pic:pic>
              </a:graphicData>
            </a:graphic>
          </wp:inline>
        </w:drawing>
      </w:r>
    </w:p>
    <w:p>
      <w:pPr>
        <w:pStyle w:val="2"/>
        <w:ind w:firstLine="0" w:firstLineChars="0"/>
        <w:rPr>
          <w:rFonts w:ascii="宋体" w:hAnsi="宋体" w:cs="宋体"/>
          <w:b/>
          <w:color w:val="auto"/>
          <w:sz w:val="32"/>
          <w:szCs w:val="32"/>
        </w:rPr>
      </w:pPr>
    </w:p>
    <w:p>
      <w:pPr>
        <w:pStyle w:val="2"/>
        <w:ind w:firstLine="0" w:firstLineChars="0"/>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drawing>
          <wp:inline distT="0" distB="0" distL="114300" distR="114300">
            <wp:extent cx="5650865" cy="3924300"/>
            <wp:effectExtent l="0" t="0" r="6985" b="0"/>
            <wp:docPr id="5" name="图片 18" descr="1650329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descr="1650329018(1)"/>
                    <pic:cNvPicPr>
                      <a:picLocks noChangeAspect="1"/>
                    </pic:cNvPicPr>
                  </pic:nvPicPr>
                  <pic:blipFill>
                    <a:blip r:embed="rId9"/>
                    <a:stretch>
                      <a:fillRect/>
                    </a:stretch>
                  </pic:blipFill>
                  <pic:spPr>
                    <a:xfrm>
                      <a:off x="0" y="0"/>
                      <a:ext cx="5650865" cy="3924300"/>
                    </a:xfrm>
                    <a:prstGeom prst="rect">
                      <a:avLst/>
                    </a:prstGeom>
                    <a:noFill/>
                    <a:ln>
                      <a:noFill/>
                    </a:ln>
                  </pic:spPr>
                </pic:pic>
              </a:graphicData>
            </a:graphic>
          </wp:inline>
        </w:drawing>
      </w:r>
    </w:p>
    <w:p>
      <w:pPr>
        <w:pStyle w:val="2"/>
        <w:ind w:firstLine="0" w:firstLineChars="0"/>
        <w:rPr>
          <w:rFonts w:ascii="宋体" w:hAnsi="宋体" w:cs="宋体"/>
          <w:b/>
          <w:color w:val="auto"/>
          <w:sz w:val="32"/>
          <w:szCs w:val="32"/>
        </w:rPr>
      </w:pPr>
    </w:p>
    <w:p>
      <w:pPr>
        <w:pStyle w:val="2"/>
        <w:ind w:firstLine="0" w:firstLineChars="0"/>
        <w:jc w:val="left"/>
        <w:rPr>
          <w:rFonts w:hint="eastAsia" w:ascii="宋体" w:hAnsi="宋体" w:eastAsia="宋体" w:cs="宋体"/>
          <w:b/>
          <w:color w:val="auto"/>
          <w:sz w:val="32"/>
          <w:szCs w:val="32"/>
          <w:lang w:eastAsia="zh-CN"/>
        </w:rPr>
      </w:pPr>
      <w:r>
        <w:rPr>
          <w:rFonts w:ascii="宋体" w:hAnsi="宋体" w:cs="宋体"/>
          <w:b/>
          <w:color w:val="auto"/>
          <w:sz w:val="32"/>
          <w:szCs w:val="32"/>
        </w:rPr>
        <w:drawing>
          <wp:inline distT="0" distB="0" distL="114300" distR="114300">
            <wp:extent cx="5649595" cy="4704715"/>
            <wp:effectExtent l="0" t="0" r="8255" b="635"/>
            <wp:docPr id="6" name="图片 20" descr="1650329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1650329332(1)"/>
                    <pic:cNvPicPr>
                      <a:picLocks noChangeAspect="1"/>
                    </pic:cNvPicPr>
                  </pic:nvPicPr>
                  <pic:blipFill>
                    <a:blip r:embed="rId10"/>
                    <a:stretch>
                      <a:fillRect/>
                    </a:stretch>
                  </pic:blipFill>
                  <pic:spPr>
                    <a:xfrm>
                      <a:off x="0" y="0"/>
                      <a:ext cx="5649595" cy="4704715"/>
                    </a:xfrm>
                    <a:prstGeom prst="rect">
                      <a:avLst/>
                    </a:prstGeom>
                    <a:noFill/>
                    <a:ln>
                      <a:noFill/>
                    </a:ln>
                  </pic:spPr>
                </pic:pic>
              </a:graphicData>
            </a:graphic>
          </wp:inline>
        </w:drawing>
      </w:r>
      <w:r>
        <w:rPr>
          <w:rFonts w:hint="eastAsia" w:ascii="宋体" w:hAnsi="宋体" w:eastAsia="宋体" w:cs="宋体"/>
          <w:b/>
          <w:color w:val="auto"/>
          <w:sz w:val="32"/>
          <w:szCs w:val="32"/>
          <w:lang w:eastAsia="zh-CN"/>
        </w:rPr>
        <w:drawing>
          <wp:inline distT="0" distB="0" distL="114300" distR="114300">
            <wp:extent cx="5647690" cy="3291205"/>
            <wp:effectExtent l="0" t="0" r="10160" b="4445"/>
            <wp:docPr id="7" name="图片 22" descr="1650329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descr="1650329363(1)"/>
                    <pic:cNvPicPr>
                      <a:picLocks noChangeAspect="1"/>
                    </pic:cNvPicPr>
                  </pic:nvPicPr>
                  <pic:blipFill>
                    <a:blip r:embed="rId11"/>
                    <a:stretch>
                      <a:fillRect/>
                    </a:stretch>
                  </pic:blipFill>
                  <pic:spPr>
                    <a:xfrm>
                      <a:off x="0" y="0"/>
                      <a:ext cx="5647690" cy="3291205"/>
                    </a:xfrm>
                    <a:prstGeom prst="rect">
                      <a:avLst/>
                    </a:prstGeom>
                    <a:noFill/>
                    <a:ln>
                      <a:noFill/>
                    </a:ln>
                  </pic:spPr>
                </pic:pic>
              </a:graphicData>
            </a:graphic>
          </wp:inline>
        </w:drawing>
      </w:r>
    </w:p>
    <w:p>
      <w:pPr>
        <w:pStyle w:val="2"/>
        <w:ind w:firstLine="0" w:firstLineChars="0"/>
        <w:rPr>
          <w:rFonts w:hint="eastAsia" w:ascii="宋体" w:hAnsi="宋体" w:eastAsia="宋体" w:cs="宋体"/>
          <w:b/>
          <w:color w:val="auto"/>
          <w:sz w:val="32"/>
          <w:szCs w:val="32"/>
          <w:lang w:eastAsia="zh-CN"/>
        </w:rPr>
      </w:pPr>
      <w:r>
        <w:drawing>
          <wp:inline distT="0" distB="0" distL="114300" distR="114300">
            <wp:extent cx="5648960" cy="4591050"/>
            <wp:effectExtent l="0" t="0" r="8890" b="0"/>
            <wp:docPr id="1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
                    <pic:cNvPicPr>
                      <a:picLocks noChangeAspect="1"/>
                    </pic:cNvPicPr>
                  </pic:nvPicPr>
                  <pic:blipFill>
                    <a:blip r:embed="rId12"/>
                    <a:stretch>
                      <a:fillRect/>
                    </a:stretch>
                  </pic:blipFill>
                  <pic:spPr>
                    <a:xfrm>
                      <a:off x="0" y="0"/>
                      <a:ext cx="5648960" cy="4591050"/>
                    </a:xfrm>
                    <a:prstGeom prst="rect">
                      <a:avLst/>
                    </a:prstGeom>
                    <a:noFill/>
                    <a:ln>
                      <a:noFill/>
                    </a:ln>
                  </pic:spPr>
                </pic:pic>
              </a:graphicData>
            </a:graphic>
          </wp:inline>
        </w:drawing>
      </w:r>
    </w:p>
    <w:p>
      <w:pPr>
        <w:pStyle w:val="2"/>
        <w:ind w:firstLine="643"/>
        <w:rPr>
          <w:rFonts w:hint="eastAsia" w:ascii="宋体" w:hAnsi="宋体" w:cs="宋体"/>
          <w:b/>
          <w:color w:val="auto"/>
          <w:sz w:val="32"/>
          <w:szCs w:val="32"/>
        </w:rPr>
      </w:pPr>
    </w:p>
    <w:p>
      <w:pPr>
        <w:pStyle w:val="2"/>
        <w:ind w:firstLine="0" w:firstLineChars="0"/>
        <w:rPr>
          <w:rFonts w:hint="eastAsia" w:ascii="宋体" w:hAnsi="宋体" w:cs="宋体"/>
          <w:b/>
          <w:color w:val="auto"/>
          <w:sz w:val="32"/>
          <w:szCs w:val="32"/>
        </w:rPr>
      </w:pPr>
      <w:r>
        <w:rPr>
          <w:rFonts w:ascii="宋体" w:hAnsi="宋体" w:cs="宋体"/>
          <w:b/>
          <w:color w:val="auto"/>
          <w:sz w:val="32"/>
          <w:szCs w:val="32"/>
        </w:rPr>
        <w:drawing>
          <wp:inline distT="0" distB="0" distL="114300" distR="114300">
            <wp:extent cx="5840730" cy="2419350"/>
            <wp:effectExtent l="0" t="0" r="7620" b="0"/>
            <wp:docPr id="8" name="图片 9" descr="9f8d11473dbb9bbcef9ec4bc8b303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9f8d11473dbb9bbcef9ec4bc8b303d7"/>
                    <pic:cNvPicPr>
                      <a:picLocks noChangeAspect="1"/>
                    </pic:cNvPicPr>
                  </pic:nvPicPr>
                  <pic:blipFill>
                    <a:blip r:embed="rId13"/>
                    <a:stretch>
                      <a:fillRect/>
                    </a:stretch>
                  </pic:blipFill>
                  <pic:spPr>
                    <a:xfrm>
                      <a:off x="0" y="0"/>
                      <a:ext cx="5840730" cy="2419350"/>
                    </a:xfrm>
                    <a:prstGeom prst="rect">
                      <a:avLst/>
                    </a:prstGeom>
                    <a:noFill/>
                    <a:ln>
                      <a:noFill/>
                    </a:ln>
                  </pic:spPr>
                </pic:pic>
              </a:graphicData>
            </a:graphic>
          </wp:inline>
        </w:drawing>
      </w:r>
    </w:p>
    <w:p>
      <w:pPr>
        <w:pStyle w:val="2"/>
        <w:ind w:firstLine="0" w:firstLineChars="0"/>
        <w:rPr>
          <w:rFonts w:hint="eastAsia" w:ascii="宋体" w:hAnsi="宋体" w:cs="宋体"/>
          <w:b/>
          <w:color w:val="auto"/>
          <w:sz w:val="32"/>
          <w:szCs w:val="32"/>
        </w:rPr>
      </w:pPr>
      <w:r>
        <w:rPr>
          <w:rFonts w:ascii="宋体" w:hAnsi="宋体" w:cs="宋体"/>
          <w:b/>
          <w:color w:val="auto"/>
          <w:sz w:val="32"/>
          <w:szCs w:val="32"/>
        </w:rPr>
        <w:drawing>
          <wp:inline distT="0" distB="0" distL="114300" distR="114300">
            <wp:extent cx="5774055" cy="1837690"/>
            <wp:effectExtent l="0" t="0" r="17145" b="10160"/>
            <wp:docPr id="9" name="图片 10" descr="68061f47a00fd8d16a715988697d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68061f47a00fd8d16a715988697d7cd"/>
                    <pic:cNvPicPr>
                      <a:picLocks noChangeAspect="1"/>
                    </pic:cNvPicPr>
                  </pic:nvPicPr>
                  <pic:blipFill>
                    <a:blip r:embed="rId14"/>
                    <a:stretch>
                      <a:fillRect/>
                    </a:stretch>
                  </pic:blipFill>
                  <pic:spPr>
                    <a:xfrm>
                      <a:off x="0" y="0"/>
                      <a:ext cx="5774055" cy="1837690"/>
                    </a:xfrm>
                    <a:prstGeom prst="rect">
                      <a:avLst/>
                    </a:prstGeom>
                    <a:noFill/>
                    <a:ln>
                      <a:noFill/>
                    </a:ln>
                  </pic:spPr>
                </pic:pic>
              </a:graphicData>
            </a:graphic>
          </wp:inline>
        </w:drawing>
      </w:r>
    </w:p>
    <w:p>
      <w:pPr>
        <w:pStyle w:val="2"/>
        <w:ind w:firstLine="0" w:firstLineChars="0"/>
        <w:rPr>
          <w:rFonts w:hint="eastAsia" w:ascii="宋体" w:hAnsi="宋体" w:cs="宋体"/>
          <w:b/>
          <w:color w:val="auto"/>
          <w:sz w:val="32"/>
          <w:szCs w:val="32"/>
        </w:rPr>
      </w:pPr>
      <w:r>
        <w:rPr>
          <w:rFonts w:ascii="宋体" w:hAnsi="宋体" w:cs="宋体"/>
          <w:b/>
          <w:color w:val="auto"/>
          <w:sz w:val="32"/>
          <w:szCs w:val="32"/>
        </w:rPr>
        <w:drawing>
          <wp:inline distT="0" distB="0" distL="114300" distR="114300">
            <wp:extent cx="5802630" cy="3281045"/>
            <wp:effectExtent l="0" t="0" r="7620" b="14605"/>
            <wp:docPr id="10" name="图片 11" descr="f1f86a54f5c5735acf1d405f11d8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f1f86a54f5c5735acf1d405f11d8e32"/>
                    <pic:cNvPicPr>
                      <a:picLocks noChangeAspect="1"/>
                    </pic:cNvPicPr>
                  </pic:nvPicPr>
                  <pic:blipFill>
                    <a:blip r:embed="rId15"/>
                    <a:stretch>
                      <a:fillRect/>
                    </a:stretch>
                  </pic:blipFill>
                  <pic:spPr>
                    <a:xfrm>
                      <a:off x="0" y="0"/>
                      <a:ext cx="5802630" cy="3281045"/>
                    </a:xfrm>
                    <a:prstGeom prst="rect">
                      <a:avLst/>
                    </a:prstGeom>
                    <a:noFill/>
                    <a:ln>
                      <a:noFill/>
                    </a:ln>
                  </pic:spPr>
                </pic:pic>
              </a:graphicData>
            </a:graphic>
          </wp:inline>
        </w:drawing>
      </w:r>
    </w:p>
    <w:p>
      <w:pPr>
        <w:pStyle w:val="2"/>
        <w:ind w:firstLine="0" w:firstLineChars="0"/>
        <w:rPr>
          <w:rFonts w:hint="eastAsia" w:ascii="宋体" w:hAnsi="宋体" w:cs="宋体"/>
          <w:b/>
          <w:color w:val="auto"/>
          <w:sz w:val="32"/>
          <w:szCs w:val="32"/>
        </w:rPr>
      </w:pPr>
    </w:p>
    <w:p>
      <w:pPr>
        <w:pStyle w:val="2"/>
        <w:ind w:firstLine="643"/>
        <w:rPr>
          <w:rFonts w:hint="eastAsia" w:ascii="宋体" w:hAnsi="宋体" w:cs="宋体"/>
          <w:b/>
          <w:color w:val="auto"/>
          <w:sz w:val="32"/>
          <w:szCs w:val="32"/>
        </w:rPr>
      </w:pPr>
    </w:p>
    <w:p>
      <w:pPr>
        <w:pStyle w:val="2"/>
        <w:ind w:firstLine="0" w:firstLineChars="0"/>
        <w:rPr>
          <w:color w:val="auto"/>
        </w:rPr>
      </w:pPr>
    </w:p>
    <w:p>
      <w:pPr>
        <w:pStyle w:val="2"/>
        <w:ind w:firstLine="0" w:firstLineChars="0"/>
        <w:rPr>
          <w:rFonts w:hint="eastAsia"/>
          <w:color w:val="auto"/>
        </w:rPr>
      </w:pPr>
    </w:p>
    <w:p>
      <w:pPr>
        <w:pStyle w:val="2"/>
        <w:ind w:firstLine="643"/>
        <w:rPr>
          <w:rFonts w:hint="eastAsia" w:ascii="宋体" w:hAnsi="宋体" w:cs="宋体"/>
          <w:b/>
          <w:color w:val="auto"/>
          <w:sz w:val="32"/>
          <w:szCs w:val="32"/>
        </w:rPr>
      </w:pPr>
    </w:p>
    <w:p>
      <w:pPr>
        <w:pStyle w:val="2"/>
        <w:ind w:firstLine="0" w:firstLineChars="0"/>
        <w:rPr>
          <w:rFonts w:hint="eastAsia" w:ascii="宋体" w:hAnsi="宋体" w:cs="宋体"/>
          <w:b/>
          <w:color w:val="auto"/>
          <w:sz w:val="32"/>
          <w:szCs w:val="32"/>
        </w:rPr>
      </w:pPr>
    </w:p>
    <w:p>
      <w:pPr>
        <w:pStyle w:val="2"/>
        <w:ind w:firstLine="643"/>
        <w:rPr>
          <w:rFonts w:hint="eastAsia" w:ascii="宋体" w:hAnsi="宋体" w:cs="宋体"/>
          <w:b/>
          <w:color w:val="auto"/>
          <w:sz w:val="32"/>
          <w:szCs w:val="32"/>
        </w:rPr>
      </w:pPr>
    </w:p>
    <w:p>
      <w:pPr>
        <w:widowControl/>
        <w:spacing w:line="600" w:lineRule="exact"/>
        <w:ind w:firstLine="640"/>
        <w:jc w:val="center"/>
        <w:rPr>
          <w:rFonts w:hint="eastAsia" w:ascii="宋体" w:hAnsi="宋体"/>
          <w:b/>
          <w:color w:val="auto"/>
          <w:sz w:val="32"/>
          <w:szCs w:val="32"/>
        </w:rPr>
      </w:pPr>
    </w:p>
    <w:p>
      <w:pPr>
        <w:autoSpaceDE w:val="0"/>
        <w:autoSpaceDN w:val="0"/>
        <w:adjustRightInd w:val="0"/>
        <w:spacing w:line="360" w:lineRule="auto"/>
        <w:jc w:val="left"/>
        <w:rPr>
          <w:rFonts w:hint="eastAsia"/>
          <w:color w:val="auto"/>
          <w:szCs w:val="30"/>
        </w:rPr>
      </w:pPr>
    </w:p>
    <w:p>
      <w:pPr>
        <w:autoSpaceDE w:val="0"/>
        <w:autoSpaceDN w:val="0"/>
        <w:adjustRightInd w:val="0"/>
        <w:spacing w:line="360" w:lineRule="auto"/>
        <w:jc w:val="left"/>
        <w:rPr>
          <w:rFonts w:hint="eastAsia"/>
          <w:color w:val="auto"/>
          <w:szCs w:val="30"/>
        </w:rPr>
      </w:pPr>
    </w:p>
    <w:p>
      <w:pPr>
        <w:widowControl/>
        <w:spacing w:line="600" w:lineRule="exact"/>
        <w:ind w:firstLine="640"/>
        <w:jc w:val="center"/>
        <w:rPr>
          <w:rFonts w:hint="eastAsia" w:ascii="宋体" w:hAnsi="宋体"/>
          <w:b/>
          <w:color w:val="auto"/>
          <w:sz w:val="32"/>
          <w:szCs w:val="32"/>
        </w:rPr>
      </w:pPr>
      <w:r>
        <w:rPr>
          <w:rFonts w:hint="eastAsia" w:ascii="宋体" w:hAnsi="宋体"/>
          <w:b/>
          <w:color w:val="auto"/>
          <w:sz w:val="32"/>
          <w:szCs w:val="32"/>
        </w:rPr>
        <w:t>第三部分  2020年度部门决算情况说明</w:t>
      </w:r>
    </w:p>
    <w:p>
      <w:pPr>
        <w:ind w:firstLine="630"/>
        <w:jc w:val="left"/>
        <w:rPr>
          <w:rFonts w:hint="eastAsia" w:ascii="仿宋" w:hAnsi="仿宋" w:eastAsia="仿宋"/>
          <w:color w:val="auto"/>
          <w:sz w:val="30"/>
          <w:szCs w:val="30"/>
        </w:rPr>
      </w:pPr>
    </w:p>
    <w:p>
      <w:pPr>
        <w:ind w:firstLine="630"/>
        <w:jc w:val="left"/>
        <w:rPr>
          <w:rFonts w:hint="eastAsia" w:ascii="黑体" w:hAnsi="宋体" w:eastAsia="黑体" w:cs="黑体"/>
          <w:b/>
          <w:bCs/>
          <w:color w:val="auto"/>
          <w:sz w:val="30"/>
          <w:szCs w:val="30"/>
        </w:rPr>
      </w:pPr>
      <w:r>
        <w:rPr>
          <w:rFonts w:hint="eastAsia" w:ascii="黑体" w:hAnsi="黑体" w:eastAsia="黑体"/>
          <w:color w:val="auto"/>
          <w:sz w:val="30"/>
          <w:szCs w:val="30"/>
        </w:rPr>
        <w:t>一、收入决算情况说明</w:t>
      </w:r>
    </w:p>
    <w:p>
      <w:pPr>
        <w:jc w:val="left"/>
        <w:rPr>
          <w:rFonts w:hint="eastAsia" w:ascii="仿宋" w:hAnsi="仿宋" w:eastAsia="仿宋"/>
          <w:color w:val="auto"/>
          <w:sz w:val="30"/>
          <w:szCs w:val="30"/>
        </w:rPr>
      </w:pPr>
      <w:r>
        <w:rPr>
          <w:rFonts w:hint="eastAsia" w:ascii="仿宋" w:hAnsi="仿宋" w:eastAsia="仿宋"/>
          <w:color w:val="auto"/>
          <w:sz w:val="30"/>
          <w:szCs w:val="30"/>
        </w:rPr>
        <w:t xml:space="preserve">    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2020年度收入总计 956.74  万元，其中年初结转和结余 48.49万元，较2019年增加14.09万元，增长40.96 %；本年收入合计908.25万元，较2019年减少413.02万元，下降31.26 %，主要原因是：梦想花园分园独立，收入减少。</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 xml:space="preserve">本年收入的具体构成为：财政拨款收入908.25万元，占100%。  </w:t>
      </w:r>
    </w:p>
    <w:p>
      <w:pPr>
        <w:ind w:firstLine="630"/>
        <w:jc w:val="left"/>
        <w:rPr>
          <w:rFonts w:hint="eastAsia" w:ascii="黑体" w:hAnsi="黑体" w:eastAsia="黑体"/>
          <w:color w:val="auto"/>
          <w:sz w:val="30"/>
          <w:szCs w:val="30"/>
        </w:rPr>
      </w:pPr>
      <w:r>
        <w:rPr>
          <w:rFonts w:hint="eastAsia" w:ascii="黑体" w:hAnsi="黑体" w:eastAsia="黑体"/>
          <w:color w:val="auto"/>
          <w:sz w:val="30"/>
          <w:szCs w:val="30"/>
        </w:rPr>
        <w:t>二、支出决算情况说明</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 xml:space="preserve">2020年度支出总计956.74万元，其中本年支出合计  846.62万元，较2019年减少432.28万元，下降33.8%，主要原因是：减少了分园开支，经费使用数目减少；年末结转和结余  </w:t>
      </w:r>
      <w:r>
        <w:rPr>
          <w:rFonts w:hint="eastAsia" w:ascii="仿宋" w:hAnsi="仿宋" w:eastAsia="仿宋" w:cs="仿宋"/>
          <w:color w:val="auto"/>
          <w:sz w:val="30"/>
          <w:szCs w:val="30"/>
          <w:lang w:bidi="ar"/>
        </w:rPr>
        <w:t>110.13</w:t>
      </w:r>
      <w:r>
        <w:rPr>
          <w:rFonts w:hint="eastAsia" w:ascii="仿宋" w:hAnsi="仿宋" w:eastAsia="仿宋"/>
          <w:color w:val="auto"/>
          <w:sz w:val="30"/>
          <w:szCs w:val="30"/>
        </w:rPr>
        <w:t>万元，较2019年增加33.36万元，增长43.45%，主要原因是：减少了分园开支。</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本年支出的具体构成为：基本支出509万元，占60.12%；项目支出337.62万元，占39.88%。</w:t>
      </w:r>
    </w:p>
    <w:p>
      <w:pPr>
        <w:ind w:firstLine="630"/>
        <w:jc w:val="left"/>
        <w:rPr>
          <w:rFonts w:hint="eastAsia" w:ascii="黑体" w:hAnsi="宋体" w:eastAsia="黑体" w:cs="黑体"/>
          <w:b/>
          <w:bCs/>
          <w:color w:val="auto"/>
          <w:sz w:val="30"/>
          <w:szCs w:val="30"/>
        </w:rPr>
      </w:pPr>
      <w:r>
        <w:rPr>
          <w:rFonts w:hint="eastAsia" w:ascii="黑体" w:hAnsi="黑体" w:eastAsia="黑体"/>
          <w:color w:val="auto"/>
          <w:sz w:val="30"/>
          <w:szCs w:val="30"/>
        </w:rPr>
        <w:t>三、财政拨款支出决算情况说明</w:t>
      </w:r>
    </w:p>
    <w:p>
      <w:pPr>
        <w:jc w:val="left"/>
        <w:rPr>
          <w:rFonts w:hint="eastAsia" w:ascii="仿宋" w:hAnsi="仿宋" w:eastAsia="仿宋"/>
          <w:color w:val="auto"/>
          <w:sz w:val="30"/>
          <w:szCs w:val="30"/>
        </w:rPr>
      </w:pPr>
      <w:r>
        <w:rPr>
          <w:rFonts w:hint="eastAsia" w:ascii="仿宋" w:hAnsi="仿宋" w:eastAsia="仿宋"/>
          <w:color w:val="auto"/>
          <w:sz w:val="30"/>
          <w:szCs w:val="30"/>
        </w:rPr>
        <w:t xml:space="preserve">    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2020年度财政拨款本年支出年初预算数为</w:t>
      </w:r>
      <w:r>
        <w:rPr>
          <w:rFonts w:hint="eastAsia" w:ascii="仿宋" w:hAnsi="仿宋" w:eastAsia="仿宋"/>
          <w:color w:val="auto"/>
          <w:sz w:val="30"/>
          <w:szCs w:val="30"/>
          <w:lang w:val="en-US" w:eastAsia="zh-CN"/>
        </w:rPr>
        <w:t>473.90</w:t>
      </w:r>
      <w:r>
        <w:rPr>
          <w:rFonts w:hint="eastAsia" w:ascii="仿宋" w:hAnsi="仿宋" w:eastAsia="仿宋"/>
          <w:color w:val="auto"/>
          <w:sz w:val="30"/>
          <w:szCs w:val="30"/>
        </w:rPr>
        <w:t>万元，决算数为846.62万元，完成年初预算的</w:t>
      </w:r>
      <w:r>
        <w:rPr>
          <w:rFonts w:hint="eastAsia" w:ascii="仿宋" w:hAnsi="仿宋" w:eastAsia="仿宋"/>
          <w:color w:val="auto"/>
          <w:sz w:val="30"/>
          <w:szCs w:val="30"/>
          <w:lang w:val="en-US" w:eastAsia="zh-CN"/>
        </w:rPr>
        <w:t>178.65</w:t>
      </w:r>
      <w:r>
        <w:rPr>
          <w:rFonts w:hint="eastAsia" w:ascii="仿宋" w:hAnsi="仿宋" w:eastAsia="仿宋"/>
          <w:color w:val="auto"/>
          <w:sz w:val="30"/>
          <w:szCs w:val="30"/>
        </w:rPr>
        <w:t>%。其中：</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（一）教育支出年初预算数为</w:t>
      </w:r>
      <w:r>
        <w:rPr>
          <w:rFonts w:hint="eastAsia" w:ascii="仿宋" w:hAnsi="仿宋" w:eastAsia="仿宋"/>
          <w:color w:val="auto"/>
          <w:sz w:val="30"/>
          <w:szCs w:val="30"/>
          <w:lang w:val="en-US" w:eastAsia="zh-CN"/>
        </w:rPr>
        <w:t>412.52</w:t>
      </w:r>
      <w:r>
        <w:rPr>
          <w:rFonts w:hint="eastAsia" w:ascii="仿宋" w:hAnsi="仿宋" w:eastAsia="仿宋"/>
          <w:color w:val="auto"/>
          <w:sz w:val="30"/>
          <w:szCs w:val="30"/>
        </w:rPr>
        <w:t>万元，决算数为792.34万元，完成年初预算的</w:t>
      </w:r>
      <w:r>
        <w:rPr>
          <w:rFonts w:hint="eastAsia" w:ascii="仿宋" w:hAnsi="仿宋" w:eastAsia="仿宋"/>
          <w:color w:val="auto"/>
          <w:sz w:val="30"/>
          <w:szCs w:val="30"/>
          <w:lang w:val="en-US" w:eastAsia="zh-CN"/>
        </w:rPr>
        <w:t>192.07</w:t>
      </w:r>
      <w:r>
        <w:rPr>
          <w:rFonts w:hint="eastAsia" w:ascii="仿宋" w:hAnsi="仿宋" w:eastAsia="仿宋"/>
          <w:color w:val="auto"/>
          <w:sz w:val="30"/>
          <w:szCs w:val="30"/>
        </w:rPr>
        <w:t>%</w:t>
      </w:r>
      <w:r>
        <w:rPr>
          <w:rFonts w:hint="eastAsia" w:ascii="仿宋" w:hAnsi="仿宋" w:eastAsia="仿宋"/>
          <w:color w:val="auto"/>
          <w:sz w:val="30"/>
          <w:szCs w:val="30"/>
          <w:lang w:eastAsia="zh-CN"/>
        </w:rPr>
        <w:t>，</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增加了各分园教育支出</w:t>
      </w:r>
      <w:r>
        <w:rPr>
          <w:rFonts w:hint="eastAsia" w:ascii="仿宋" w:hAnsi="仿宋" w:eastAsia="仿宋"/>
          <w:color w:val="auto"/>
          <w:sz w:val="30"/>
          <w:szCs w:val="30"/>
        </w:rPr>
        <w:t>。</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（二）社会保障和就业支出年初预算数为</w:t>
      </w:r>
      <w:r>
        <w:rPr>
          <w:rFonts w:hint="eastAsia" w:ascii="仿宋" w:hAnsi="仿宋" w:eastAsia="仿宋"/>
          <w:color w:val="auto"/>
          <w:sz w:val="30"/>
          <w:szCs w:val="30"/>
          <w:lang w:val="en-US" w:eastAsia="zh-CN"/>
        </w:rPr>
        <w:t>45.22</w:t>
      </w:r>
      <w:r>
        <w:rPr>
          <w:rFonts w:hint="eastAsia" w:ascii="仿宋" w:hAnsi="仿宋" w:eastAsia="仿宋"/>
          <w:color w:val="auto"/>
          <w:sz w:val="30"/>
          <w:szCs w:val="30"/>
        </w:rPr>
        <w:t>万元，决算数为36.59万元，完成年初预算的</w:t>
      </w:r>
      <w:r>
        <w:rPr>
          <w:rFonts w:hint="eastAsia" w:ascii="仿宋" w:hAnsi="仿宋" w:eastAsia="仿宋"/>
          <w:color w:val="auto"/>
          <w:sz w:val="30"/>
          <w:szCs w:val="30"/>
          <w:lang w:val="en-US" w:eastAsia="zh-CN"/>
        </w:rPr>
        <w:t>80.92</w:t>
      </w:r>
      <w:r>
        <w:rPr>
          <w:rFonts w:hint="eastAsia" w:ascii="仿宋" w:hAnsi="仿宋" w:eastAsia="仿宋"/>
          <w:color w:val="auto"/>
          <w:sz w:val="30"/>
          <w:szCs w:val="30"/>
        </w:rPr>
        <w:t>%</w:t>
      </w:r>
      <w:r>
        <w:rPr>
          <w:rFonts w:hint="eastAsia" w:ascii="仿宋" w:hAnsi="仿宋" w:eastAsia="仿宋"/>
          <w:color w:val="auto"/>
          <w:sz w:val="30"/>
          <w:szCs w:val="30"/>
          <w:lang w:eastAsia="zh-CN"/>
        </w:rPr>
        <w:t>，</w:t>
      </w:r>
      <w:r>
        <w:rPr>
          <w:rFonts w:hint="eastAsia" w:ascii="仿宋" w:hAnsi="仿宋" w:eastAsia="仿宋"/>
          <w:color w:val="auto"/>
          <w:sz w:val="30"/>
          <w:szCs w:val="30"/>
        </w:rPr>
        <w:t>主要原因是：</w:t>
      </w:r>
      <w:r>
        <w:rPr>
          <w:rFonts w:hint="eastAsia" w:ascii="仿宋" w:hAnsi="仿宋" w:eastAsia="仿宋" w:cs="仿宋"/>
          <w:color w:val="auto"/>
          <w:sz w:val="30"/>
          <w:szCs w:val="30"/>
          <w:lang w:bidi="ar"/>
        </w:rPr>
        <w:t>人员</w:t>
      </w:r>
      <w:r>
        <w:rPr>
          <w:rFonts w:hint="eastAsia" w:ascii="仿宋" w:hAnsi="仿宋" w:eastAsia="仿宋" w:cs="仿宋"/>
          <w:color w:val="auto"/>
          <w:sz w:val="30"/>
          <w:szCs w:val="30"/>
          <w:lang w:val="en-US" w:eastAsia="zh-CN" w:bidi="ar"/>
        </w:rPr>
        <w:t>变动</w:t>
      </w:r>
      <w:r>
        <w:rPr>
          <w:rFonts w:hint="eastAsia" w:ascii="仿宋" w:hAnsi="仿宋" w:eastAsia="仿宋"/>
          <w:color w:val="auto"/>
          <w:sz w:val="30"/>
          <w:szCs w:val="30"/>
        </w:rPr>
        <w:t>。</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（三）卫生健康支出年初预算数为</w:t>
      </w:r>
      <w:r>
        <w:rPr>
          <w:rFonts w:hint="eastAsia" w:ascii="仿宋" w:hAnsi="仿宋" w:eastAsia="仿宋"/>
          <w:color w:val="auto"/>
          <w:sz w:val="30"/>
          <w:szCs w:val="30"/>
          <w:lang w:val="en-US" w:eastAsia="zh-CN"/>
        </w:rPr>
        <w:t>16.16</w:t>
      </w:r>
      <w:r>
        <w:rPr>
          <w:rFonts w:hint="eastAsia" w:ascii="仿宋" w:hAnsi="仿宋" w:eastAsia="仿宋"/>
          <w:color w:val="auto"/>
          <w:sz w:val="30"/>
          <w:szCs w:val="30"/>
        </w:rPr>
        <w:t>万元，决算数为17.69万元，完成年初预算的</w:t>
      </w:r>
      <w:r>
        <w:rPr>
          <w:rFonts w:hint="eastAsia" w:ascii="仿宋" w:hAnsi="仿宋" w:eastAsia="仿宋"/>
          <w:color w:val="auto"/>
          <w:sz w:val="30"/>
          <w:szCs w:val="30"/>
          <w:lang w:val="en-US" w:eastAsia="zh-CN"/>
        </w:rPr>
        <w:t>109.47</w:t>
      </w:r>
      <w:r>
        <w:rPr>
          <w:rFonts w:hint="eastAsia" w:ascii="仿宋" w:hAnsi="仿宋" w:eastAsia="仿宋"/>
          <w:color w:val="auto"/>
          <w:sz w:val="30"/>
          <w:szCs w:val="30"/>
        </w:rPr>
        <w:t>%</w:t>
      </w:r>
      <w:r>
        <w:rPr>
          <w:rFonts w:hint="eastAsia" w:ascii="仿宋" w:hAnsi="仿宋" w:eastAsia="仿宋"/>
          <w:color w:val="auto"/>
          <w:sz w:val="30"/>
          <w:szCs w:val="30"/>
          <w:lang w:eastAsia="zh-CN"/>
        </w:rPr>
        <w:t>，</w:t>
      </w:r>
      <w:r>
        <w:rPr>
          <w:rFonts w:hint="eastAsia" w:ascii="仿宋" w:hAnsi="仿宋" w:eastAsia="仿宋"/>
          <w:color w:val="auto"/>
          <w:sz w:val="30"/>
          <w:szCs w:val="30"/>
        </w:rPr>
        <w:t>主要原因是：</w:t>
      </w:r>
      <w:r>
        <w:rPr>
          <w:rFonts w:hint="eastAsia" w:ascii="仿宋" w:hAnsi="仿宋" w:eastAsia="仿宋" w:cs="仿宋"/>
          <w:color w:val="auto"/>
          <w:sz w:val="30"/>
          <w:szCs w:val="30"/>
          <w:lang w:bidi="ar"/>
        </w:rPr>
        <w:t>人员变动</w:t>
      </w:r>
      <w:r>
        <w:rPr>
          <w:rFonts w:hint="eastAsia" w:ascii="仿宋" w:hAnsi="仿宋" w:eastAsia="仿宋"/>
          <w:color w:val="auto"/>
          <w:sz w:val="30"/>
          <w:szCs w:val="30"/>
        </w:rPr>
        <w:t>。</w:t>
      </w:r>
    </w:p>
    <w:p>
      <w:pPr>
        <w:ind w:firstLine="585"/>
        <w:jc w:val="left"/>
        <w:rPr>
          <w:rFonts w:hint="eastAsia" w:ascii="黑体" w:hAnsi="宋体" w:eastAsia="黑体" w:cs="黑体"/>
          <w:b/>
          <w:bCs/>
          <w:color w:val="auto"/>
          <w:sz w:val="30"/>
          <w:szCs w:val="30"/>
        </w:rPr>
      </w:pPr>
      <w:r>
        <w:rPr>
          <w:rFonts w:hint="eastAsia" w:ascii="黑体" w:hAnsi="黑体" w:eastAsia="黑体"/>
          <w:color w:val="auto"/>
          <w:sz w:val="30"/>
          <w:szCs w:val="30"/>
        </w:rPr>
        <w:t xml:space="preserve">    四、一般公共预算财政拨款基本支出决算情况说明</w:t>
      </w:r>
    </w:p>
    <w:p>
      <w:pPr>
        <w:jc w:val="left"/>
        <w:rPr>
          <w:rFonts w:hint="eastAsia" w:ascii="仿宋" w:hAnsi="仿宋" w:eastAsia="仿宋"/>
          <w:color w:val="auto"/>
          <w:sz w:val="30"/>
          <w:szCs w:val="30"/>
        </w:rPr>
      </w:pPr>
      <w:r>
        <w:rPr>
          <w:rFonts w:hint="eastAsia" w:ascii="仿宋" w:hAnsi="仿宋" w:eastAsia="仿宋"/>
          <w:color w:val="auto"/>
          <w:sz w:val="30"/>
          <w:szCs w:val="30"/>
        </w:rPr>
        <w:t xml:space="preserve">    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2020年度一般公共预算财政拨款基本支出509万元，其中：</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（一）工资福利支出386.46万元，较2019年增加23.84 万元，增长6.6 %，主要原因是：教师工龄增长及职称晋升增加工资。</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（二）商品和服务支出88.14万元，较2019年减少33.37万元，下降27.46%，主要原因是：减少了分园开支，各项基本支出经费减少。</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（三）对个人和家庭补助支出4.94万元，较2019年增加3.68万元，增长292%，主要原因是：增加了医疗费补助支出。</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（四）资本性支出29.45万元，较2019年增加28.53万元，增长3103%，主要原因是：2020年市级示范园复评。购置器材等数量较多。</w:t>
      </w:r>
    </w:p>
    <w:p>
      <w:pPr>
        <w:ind w:firstLine="630"/>
        <w:jc w:val="left"/>
        <w:rPr>
          <w:rFonts w:hint="eastAsia" w:ascii="黑体" w:hAnsi="黑体" w:eastAsia="黑体"/>
          <w:color w:val="auto"/>
          <w:sz w:val="30"/>
          <w:szCs w:val="30"/>
        </w:rPr>
      </w:pPr>
      <w:r>
        <w:rPr>
          <w:rFonts w:hint="eastAsia" w:ascii="黑体" w:hAnsi="黑体" w:eastAsia="黑体"/>
          <w:color w:val="auto"/>
          <w:sz w:val="30"/>
          <w:szCs w:val="30"/>
        </w:rPr>
        <w:t>五、一般公共预算财政拨款“三公”经费支出决算情况说明</w:t>
      </w:r>
    </w:p>
    <w:p>
      <w:pPr>
        <w:ind w:firstLine="630"/>
        <w:jc w:val="left"/>
        <w:rPr>
          <w:rFonts w:hint="eastAsia"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2020年度一般公共预算财政拨款“三公”经费支出年初预算数为2.59万元，决算数为1.12万元，完成预算的43.24%，决算数较2019年减少0.33万元，下降22.76%，其中：</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0万元，</w:t>
      </w:r>
      <w:r>
        <w:rPr>
          <w:rFonts w:hint="eastAsia" w:ascii="仿宋" w:hAnsi="仿宋" w:eastAsia="仿宋"/>
          <w:sz w:val="30"/>
          <w:szCs w:val="30"/>
        </w:rPr>
        <w:t>主要</w:t>
      </w:r>
      <w:r>
        <w:rPr>
          <w:rFonts w:hint="eastAsia" w:ascii="仿宋" w:hAnsi="仿宋" w:eastAsia="仿宋"/>
          <w:sz w:val="30"/>
          <w:szCs w:val="30"/>
          <w:lang w:val="en-US" w:eastAsia="zh-CN"/>
        </w:rPr>
        <w:t>原因</w:t>
      </w:r>
      <w:r>
        <w:rPr>
          <w:rFonts w:hint="eastAsia" w:ascii="仿宋" w:hAnsi="仿宋" w:eastAsia="仿宋"/>
          <w:sz w:val="30"/>
          <w:szCs w:val="30"/>
        </w:rPr>
        <w:t>为：</w:t>
      </w:r>
      <w:r>
        <w:rPr>
          <w:rFonts w:hint="eastAsia" w:ascii="仿宋" w:hAnsi="仿宋" w:eastAsia="仿宋"/>
          <w:sz w:val="30"/>
          <w:szCs w:val="30"/>
          <w:lang w:val="en-US" w:eastAsia="zh-CN"/>
        </w:rPr>
        <w:t>本单位2020年</w:t>
      </w:r>
      <w:r>
        <w:rPr>
          <w:rFonts w:hint="eastAsia" w:ascii="仿宋" w:hAnsi="仿宋" w:eastAsia="仿宋"/>
          <w:sz w:val="30"/>
          <w:szCs w:val="30"/>
        </w:rPr>
        <w:t>因公出国（境）支出。决算数较年初预算数</w:t>
      </w:r>
      <w:r>
        <w:rPr>
          <w:rFonts w:hint="eastAsia" w:ascii="仿宋" w:hAnsi="仿宋" w:eastAsia="仿宋"/>
          <w:sz w:val="30"/>
          <w:szCs w:val="30"/>
          <w:lang w:val="en-US" w:eastAsia="zh-CN"/>
        </w:rPr>
        <w:t>无变化，全年安排因公出国（境）团组0个，累计0人次，</w:t>
      </w:r>
      <w:r>
        <w:rPr>
          <w:rFonts w:hint="eastAsia" w:ascii="仿宋" w:hAnsi="仿宋" w:eastAsia="仿宋"/>
          <w:sz w:val="30"/>
          <w:szCs w:val="30"/>
        </w:rPr>
        <w:t>主要</w:t>
      </w:r>
      <w:r>
        <w:rPr>
          <w:rFonts w:hint="eastAsia" w:ascii="仿宋" w:hAnsi="仿宋" w:eastAsia="仿宋"/>
          <w:sz w:val="30"/>
          <w:szCs w:val="30"/>
          <w:lang w:val="en-US" w:eastAsia="zh-CN"/>
        </w:rPr>
        <w:t>原因</w:t>
      </w:r>
      <w:r>
        <w:rPr>
          <w:rFonts w:hint="eastAsia" w:ascii="仿宋" w:hAnsi="仿宋" w:eastAsia="仿宋"/>
          <w:sz w:val="30"/>
          <w:szCs w:val="30"/>
        </w:rPr>
        <w:t>为：</w:t>
      </w:r>
      <w:r>
        <w:rPr>
          <w:rFonts w:hint="eastAsia" w:ascii="仿宋" w:hAnsi="仿宋" w:eastAsia="仿宋"/>
          <w:sz w:val="30"/>
          <w:szCs w:val="30"/>
          <w:lang w:val="en-US" w:eastAsia="zh-CN"/>
        </w:rPr>
        <w:t>本单位2020年</w:t>
      </w:r>
      <w:r>
        <w:rPr>
          <w:rFonts w:hint="eastAsia" w:ascii="仿宋" w:hAnsi="仿宋" w:eastAsia="仿宋"/>
          <w:sz w:val="30"/>
          <w:szCs w:val="30"/>
        </w:rPr>
        <w:t>因公出国（境）支出</w:t>
      </w:r>
      <w:r>
        <w:rPr>
          <w:rFonts w:hint="eastAsia" w:ascii="仿宋" w:hAnsi="仿宋" w:eastAsia="仿宋"/>
          <w:sz w:val="30"/>
          <w:szCs w:val="30"/>
          <w:lang w:val="en-US" w:eastAsia="zh-CN"/>
        </w:rPr>
        <w:t>。</w:t>
      </w:r>
    </w:p>
    <w:p>
      <w:pPr>
        <w:ind w:firstLine="630"/>
        <w:jc w:val="left"/>
        <w:rPr>
          <w:rFonts w:ascii="仿宋" w:hAnsi="仿宋" w:eastAsia="仿宋"/>
          <w:color w:val="auto"/>
          <w:sz w:val="30"/>
          <w:szCs w:val="30"/>
        </w:rPr>
      </w:pPr>
      <w:r>
        <w:rPr>
          <w:rFonts w:hint="eastAsia" w:ascii="仿宋" w:hAnsi="仿宋" w:eastAsia="仿宋"/>
          <w:color w:val="auto"/>
          <w:sz w:val="30"/>
          <w:szCs w:val="30"/>
        </w:rPr>
        <w:t>（二）公务接待费支出年初预算数为2.59万元，决算数为1.12  万元，完成预算的43.24%，决算数较2019年减少0.33万元，下降22.76%，主要原因是2020年疫情减少公务接待。决算数较年初预算数增加的主要原因是：2020年疫情减少公务接待。全年国内公务接待13批，累计接待126人次，其中外事接待 0 批，累计接待0人次。</w:t>
      </w:r>
      <w:r>
        <w:rPr>
          <w:rFonts w:hint="eastAsia" w:ascii="仿宋" w:hAnsi="仿宋" w:eastAsia="仿宋"/>
          <w:sz w:val="30"/>
          <w:szCs w:val="30"/>
        </w:rPr>
        <w:t>主要为</w:t>
      </w:r>
      <w:r>
        <w:rPr>
          <w:rFonts w:hint="eastAsia" w:ascii="仿宋" w:hAnsi="仿宋" w:eastAsia="仿宋"/>
          <w:sz w:val="30"/>
          <w:szCs w:val="30"/>
          <w:lang w:eastAsia="zh-CN"/>
        </w:rPr>
        <w:t>：</w:t>
      </w:r>
      <w:r>
        <w:rPr>
          <w:rFonts w:hint="eastAsia" w:ascii="仿宋" w:hAnsi="仿宋" w:eastAsia="仿宋"/>
          <w:sz w:val="30"/>
          <w:szCs w:val="30"/>
          <w:lang w:val="en-US" w:eastAsia="zh-CN"/>
        </w:rPr>
        <w:t>各教育单位之间交流学习</w:t>
      </w:r>
      <w:r>
        <w:rPr>
          <w:rFonts w:hint="eastAsia" w:ascii="仿宋" w:hAnsi="仿宋" w:eastAsia="仿宋"/>
          <w:sz w:val="30"/>
          <w:szCs w:val="30"/>
          <w:lang w:eastAsia="zh-CN"/>
        </w:rPr>
        <w:t>。</w:t>
      </w:r>
    </w:p>
    <w:p>
      <w:pPr>
        <w:ind w:firstLine="630"/>
        <w:jc w:val="left"/>
        <w:rPr>
          <w:rFonts w:hint="eastAsia" w:ascii="仿宋" w:hAnsi="仿宋" w:eastAsia="仿宋"/>
          <w:sz w:val="30"/>
          <w:szCs w:val="30"/>
        </w:rPr>
      </w:pPr>
      <w:r>
        <w:rPr>
          <w:rFonts w:hint="eastAsia" w:ascii="仿宋" w:hAnsi="仿宋" w:eastAsia="仿宋"/>
          <w:color w:val="auto"/>
          <w:sz w:val="30"/>
          <w:szCs w:val="30"/>
        </w:rPr>
        <w:t>（三）</w:t>
      </w:r>
      <w:r>
        <w:rPr>
          <w:rFonts w:hint="eastAsia" w:ascii="仿宋" w:hAnsi="仿宋" w:eastAsia="仿宋"/>
          <w:sz w:val="30"/>
          <w:szCs w:val="30"/>
        </w:rPr>
        <w:t xml:space="preserve">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val="en-US" w:eastAsia="zh-CN"/>
        </w:rPr>
        <w:t>主要原因是：本年度未购置公务用车；全年购置公务用车0辆</w:t>
      </w:r>
      <w:r>
        <w:rPr>
          <w:rFonts w:hint="eastAsia" w:ascii="仿宋" w:hAnsi="仿宋" w:eastAsia="仿宋"/>
          <w:sz w:val="30"/>
          <w:szCs w:val="30"/>
          <w:lang w:eastAsia="zh-CN"/>
        </w:rPr>
        <w:t>，</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0辆</w:t>
      </w:r>
      <w:r>
        <w:rPr>
          <w:rFonts w:hint="eastAsia" w:ascii="仿宋" w:hAnsi="仿宋" w:eastAsia="仿宋"/>
          <w:sz w:val="30"/>
          <w:szCs w:val="30"/>
          <w:lang w:eastAsia="zh-CN"/>
        </w:rPr>
        <w:t>，</w:t>
      </w:r>
      <w:r>
        <w:rPr>
          <w:rFonts w:hint="eastAsia" w:ascii="仿宋" w:hAnsi="仿宋" w:eastAsia="仿宋"/>
          <w:sz w:val="30"/>
          <w:szCs w:val="30"/>
          <w:lang w:val="en-US" w:eastAsia="zh-CN"/>
        </w:rPr>
        <w:t>增长0%的</w:t>
      </w:r>
      <w:r>
        <w:rPr>
          <w:rFonts w:hint="eastAsia" w:ascii="仿宋" w:hAnsi="仿宋" w:eastAsia="仿宋"/>
          <w:sz w:val="30"/>
          <w:szCs w:val="30"/>
        </w:rPr>
        <w:t>主要原因是：</w:t>
      </w:r>
      <w:r>
        <w:rPr>
          <w:rFonts w:hint="eastAsia" w:ascii="仿宋" w:hAnsi="仿宋" w:eastAsia="仿宋"/>
          <w:sz w:val="30"/>
          <w:szCs w:val="30"/>
          <w:lang w:val="en-US" w:eastAsia="zh-CN"/>
        </w:rPr>
        <w:t>未购置公务用车</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 xml:space="preserve"> %，决算数较2019年</w:t>
      </w:r>
      <w:r>
        <w:rPr>
          <w:rFonts w:hint="eastAsia" w:ascii="仿宋" w:hAnsi="仿宋" w:eastAsia="仿宋"/>
          <w:sz w:val="30"/>
          <w:szCs w:val="30"/>
          <w:lang w:val="en-US" w:eastAsia="zh-CN"/>
        </w:rPr>
        <w:t>增加0万元</w:t>
      </w:r>
      <w:r>
        <w:rPr>
          <w:rFonts w:hint="eastAsia" w:ascii="仿宋" w:hAnsi="仿宋" w:eastAsia="仿宋"/>
          <w:sz w:val="30"/>
          <w:szCs w:val="30"/>
          <w:lang w:eastAsia="zh-CN"/>
        </w:rPr>
        <w:t>，</w:t>
      </w:r>
      <w:r>
        <w:rPr>
          <w:rFonts w:hint="eastAsia" w:ascii="仿宋" w:hAnsi="仿宋" w:eastAsia="仿宋"/>
          <w:sz w:val="30"/>
          <w:szCs w:val="30"/>
          <w:lang w:val="en-US" w:eastAsia="zh-CN"/>
        </w:rPr>
        <w:t>增长0%，主要原因是：本单位无公车。年末公务用车保有0辆</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0万元，</w:t>
      </w:r>
      <w:r>
        <w:rPr>
          <w:rFonts w:hint="eastAsia" w:ascii="仿宋" w:hAnsi="仿宋" w:eastAsia="仿宋"/>
          <w:sz w:val="30"/>
          <w:szCs w:val="30"/>
        </w:rPr>
        <w:t>的主要原因是：</w:t>
      </w:r>
      <w:r>
        <w:rPr>
          <w:rFonts w:hint="eastAsia" w:ascii="仿宋" w:hAnsi="仿宋" w:eastAsia="仿宋"/>
          <w:sz w:val="30"/>
          <w:szCs w:val="30"/>
          <w:lang w:val="en-US" w:eastAsia="zh-CN"/>
        </w:rPr>
        <w:t>未购置公务用车</w:t>
      </w:r>
      <w:r>
        <w:rPr>
          <w:rFonts w:hint="eastAsia" w:ascii="仿宋" w:hAnsi="仿宋" w:eastAsia="仿宋"/>
          <w:sz w:val="30"/>
          <w:szCs w:val="30"/>
        </w:rPr>
        <w:t>。</w:t>
      </w:r>
    </w:p>
    <w:p>
      <w:pPr>
        <w:pStyle w:val="2"/>
        <w:rPr>
          <w:rFonts w:hint="eastAsia"/>
        </w:rPr>
      </w:pPr>
    </w:p>
    <w:p>
      <w:pPr>
        <w:ind w:firstLine="600" w:firstLineChars="200"/>
        <w:jc w:val="left"/>
        <w:rPr>
          <w:rFonts w:hint="eastAsia" w:ascii="黑体" w:hAnsi="宋体" w:eastAsia="黑体" w:cs="黑体"/>
          <w:b/>
          <w:bCs/>
          <w:color w:val="auto"/>
          <w:sz w:val="30"/>
          <w:szCs w:val="30"/>
        </w:rPr>
      </w:pPr>
      <w:r>
        <w:rPr>
          <w:rFonts w:hint="eastAsia" w:ascii="黑体" w:hAnsi="黑体" w:eastAsia="黑体"/>
          <w:color w:val="auto"/>
          <w:sz w:val="30"/>
          <w:szCs w:val="30"/>
        </w:rPr>
        <w:t>六、机关运行经费支出情况说明</w:t>
      </w:r>
    </w:p>
    <w:p>
      <w:pPr>
        <w:jc w:val="left"/>
        <w:rPr>
          <w:rFonts w:hint="eastAsia" w:ascii="仿宋" w:hAnsi="仿宋" w:eastAsia="仿宋"/>
          <w:b/>
          <w:bCs/>
          <w:color w:val="auto"/>
          <w:sz w:val="30"/>
          <w:szCs w:val="30"/>
        </w:rPr>
      </w:pPr>
      <w:r>
        <w:rPr>
          <w:rFonts w:hint="eastAsia" w:ascii="仿宋" w:hAnsi="仿宋" w:eastAsia="仿宋"/>
          <w:color w:val="auto"/>
          <w:sz w:val="30"/>
          <w:szCs w:val="30"/>
        </w:rPr>
        <w:t xml:space="preserve">    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 xml:space="preserve">2020年度机关运行经费支出117.59万元，较上年决算数减少4.84万元，降低3.59%，主要原因是：办公设施设备购置经费减少，人员编制数量减少。 </w:t>
      </w:r>
    </w:p>
    <w:p>
      <w:pPr>
        <w:ind w:firstLine="630"/>
        <w:jc w:val="left"/>
        <w:rPr>
          <w:rFonts w:hint="eastAsia" w:ascii="黑体" w:hAnsi="宋体" w:eastAsia="黑体" w:cs="黑体"/>
          <w:b/>
          <w:bCs/>
          <w:color w:val="auto"/>
          <w:sz w:val="30"/>
          <w:szCs w:val="30"/>
        </w:rPr>
      </w:pPr>
      <w:r>
        <w:rPr>
          <w:rFonts w:hint="eastAsia" w:ascii="仿宋" w:hAnsi="仿宋" w:eastAsia="仿宋"/>
          <w:color w:val="auto"/>
          <w:sz w:val="30"/>
          <w:szCs w:val="30"/>
        </w:rPr>
        <w:t xml:space="preserve"> </w:t>
      </w:r>
      <w:r>
        <w:rPr>
          <w:rFonts w:hint="eastAsia" w:ascii="黑体" w:hAnsi="黑体" w:eastAsia="黑体"/>
          <w:color w:val="auto"/>
          <w:sz w:val="30"/>
          <w:szCs w:val="30"/>
        </w:rPr>
        <w:t>七、政府采购支出情况说明</w:t>
      </w:r>
    </w:p>
    <w:p>
      <w:pPr>
        <w:pStyle w:val="11"/>
        <w:spacing w:line="600" w:lineRule="atLeast"/>
        <w:rPr>
          <w:rFonts w:hint="eastAsia" w:ascii="仿宋" w:hAnsi="仿宋" w:eastAsia="仿宋"/>
          <w:color w:val="auto"/>
          <w:sz w:val="30"/>
          <w:szCs w:val="30"/>
        </w:rPr>
      </w:pPr>
      <w:r>
        <w:rPr>
          <w:rFonts w:hint="eastAsia" w:ascii="仿宋" w:hAnsi="仿宋" w:eastAsia="仿宋"/>
          <w:color w:val="auto"/>
          <w:sz w:val="30"/>
          <w:szCs w:val="30"/>
        </w:rPr>
        <w:t xml:space="preserve">    本</w:t>
      </w:r>
      <w:r>
        <w:rPr>
          <w:rFonts w:hint="eastAsia" w:ascii="仿宋" w:hAnsi="仿宋" w:eastAsia="仿宋"/>
          <w:color w:val="auto"/>
          <w:sz w:val="30"/>
          <w:szCs w:val="30"/>
          <w:lang w:val="en-US" w:eastAsia="zh-CN"/>
        </w:rPr>
        <w:t>单位</w:t>
      </w:r>
      <w:r>
        <w:rPr>
          <w:rFonts w:hint="eastAsia" w:ascii="仿宋" w:hAnsi="仿宋" w:eastAsia="仿宋"/>
          <w:color w:val="auto"/>
          <w:sz w:val="30"/>
          <w:szCs w:val="30"/>
        </w:rPr>
        <w:t>2020年度政府采购支出总额34.13万元，其中：政府采购货物支出34.13万元、政府采购工程支出</w:t>
      </w:r>
      <w:r>
        <w:rPr>
          <w:rFonts w:ascii="仿宋" w:hAnsi="仿宋" w:eastAsia="仿宋"/>
          <w:color w:val="auto"/>
          <w:sz w:val="30"/>
          <w:szCs w:val="30"/>
        </w:rPr>
        <w:t>0</w:t>
      </w:r>
      <w:r>
        <w:rPr>
          <w:rFonts w:hint="eastAsia" w:ascii="仿宋" w:hAnsi="仿宋" w:eastAsia="仿宋"/>
          <w:color w:val="auto"/>
          <w:sz w:val="30"/>
          <w:szCs w:val="30"/>
        </w:rPr>
        <w:t>万元、政府采购服务支出0万元。授予中小企业合同金额34.13万元，占政府采购支出总额的100%，其中：授予小微企业合同金额34.13万元，占政府采购支出总额的100%。</w:t>
      </w:r>
    </w:p>
    <w:p>
      <w:pPr>
        <w:numPr>
          <w:ilvl w:val="0"/>
          <w:numId w:val="2"/>
        </w:numPr>
        <w:ind w:firstLine="630"/>
        <w:jc w:val="left"/>
        <w:rPr>
          <w:rFonts w:hint="eastAsia" w:ascii="黑体" w:hAnsi="黑体" w:eastAsia="黑体"/>
          <w:color w:val="auto"/>
          <w:sz w:val="30"/>
          <w:szCs w:val="30"/>
        </w:rPr>
      </w:pPr>
      <w:r>
        <w:rPr>
          <w:rFonts w:hint="eastAsia" w:ascii="黑体" w:hAnsi="黑体" w:eastAsia="黑体"/>
          <w:color w:val="auto"/>
          <w:sz w:val="30"/>
          <w:szCs w:val="30"/>
        </w:rPr>
        <w:t>国有资产占用情况说明</w:t>
      </w:r>
    </w:p>
    <w:p>
      <w:pPr>
        <w:ind w:firstLine="600" w:firstLineChars="200"/>
        <w:jc w:val="left"/>
        <w:rPr>
          <w:rFonts w:hint="eastAsia" w:ascii="仿宋" w:hAnsi="仿宋" w:eastAsia="仿宋"/>
          <w:color w:val="auto"/>
          <w:kern w:val="0"/>
          <w:sz w:val="30"/>
          <w:szCs w:val="30"/>
        </w:rPr>
      </w:pPr>
      <w:r>
        <w:rPr>
          <w:rFonts w:hint="eastAsia" w:ascii="仿宋" w:hAnsi="仿宋" w:eastAsia="仿宋"/>
          <w:color w:val="auto"/>
          <w:kern w:val="0"/>
          <w:sz w:val="30"/>
          <w:szCs w:val="30"/>
        </w:rPr>
        <w:t>截止2020年12月31日，本单位国有资产占用情况见公开10表《国有资产占用情况表》。其中车辆情况无。</w:t>
      </w:r>
    </w:p>
    <w:p>
      <w:pPr>
        <w:ind w:firstLine="585"/>
        <w:jc w:val="left"/>
        <w:rPr>
          <w:rFonts w:hint="eastAsia" w:ascii="黑体" w:hAnsi="宋体" w:eastAsia="黑体" w:cs="黑体"/>
          <w:b/>
          <w:bCs/>
          <w:color w:val="auto"/>
          <w:sz w:val="30"/>
          <w:szCs w:val="30"/>
        </w:rPr>
      </w:pPr>
      <w:r>
        <w:rPr>
          <w:rFonts w:hint="eastAsia" w:ascii="黑体" w:hAnsi="黑体" w:eastAsia="黑体"/>
          <w:color w:val="auto"/>
          <w:sz w:val="30"/>
          <w:szCs w:val="30"/>
        </w:rPr>
        <w:t>九、预算绩效情况说明</w:t>
      </w:r>
    </w:p>
    <w:p>
      <w:pPr>
        <w:autoSpaceDE w:val="0"/>
        <w:autoSpaceDN w:val="0"/>
        <w:adjustRightInd w:val="0"/>
        <w:spacing w:line="360" w:lineRule="auto"/>
        <w:jc w:val="left"/>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 xml:space="preserve">    （一）绩效管理工作开展情况。</w:t>
      </w:r>
    </w:p>
    <w:p>
      <w:pPr>
        <w:autoSpaceDE w:val="0"/>
        <w:autoSpaceDN w:val="0"/>
        <w:adjustRightInd w:val="0"/>
        <w:spacing w:line="360" w:lineRule="auto"/>
        <w:ind w:firstLine="600" w:firstLineChars="200"/>
        <w:jc w:val="left"/>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根据预算绩效管理要求，我</w:t>
      </w:r>
      <w:r>
        <w:rPr>
          <w:rFonts w:hint="eastAsia" w:ascii="仿宋" w:hAnsi="仿宋" w:eastAsia="仿宋" w:cs="仿宋_GB2312"/>
          <w:color w:val="auto"/>
          <w:kern w:val="0"/>
          <w:sz w:val="30"/>
          <w:szCs w:val="30"/>
          <w:lang w:val="en-US" w:eastAsia="zh-CN"/>
        </w:rPr>
        <w:t>单位</w:t>
      </w:r>
      <w:r>
        <w:rPr>
          <w:rFonts w:hint="eastAsia" w:ascii="仿宋" w:hAnsi="仿宋" w:eastAsia="仿宋" w:cs="仿宋_GB2312"/>
          <w:color w:val="auto"/>
          <w:kern w:val="0"/>
          <w:sz w:val="30"/>
          <w:szCs w:val="30"/>
        </w:rPr>
        <w:t>组织对</w:t>
      </w:r>
      <w:r>
        <w:rPr>
          <w:rFonts w:ascii="仿宋" w:hAnsi="仿宋" w:eastAsia="仿宋" w:cs="仿宋_GB2312"/>
          <w:color w:val="auto"/>
          <w:kern w:val="0"/>
          <w:sz w:val="30"/>
          <w:szCs w:val="30"/>
        </w:rPr>
        <w:t>20</w:t>
      </w:r>
      <w:r>
        <w:rPr>
          <w:rFonts w:hint="eastAsia" w:ascii="仿宋" w:hAnsi="仿宋" w:eastAsia="仿宋" w:cs="仿宋_GB2312"/>
          <w:color w:val="auto"/>
          <w:kern w:val="0"/>
          <w:sz w:val="30"/>
          <w:szCs w:val="30"/>
        </w:rPr>
        <w:t xml:space="preserve">20年度一般公共预算项目支出所有二级项目1个全面开展绩效自评，共涉及资金337.62万元，占一般公共预算项目支出总额的39.88%。    </w:t>
      </w:r>
    </w:p>
    <w:p>
      <w:pPr>
        <w:autoSpaceDE w:val="0"/>
        <w:autoSpaceDN w:val="0"/>
        <w:adjustRightInd w:val="0"/>
        <w:spacing w:line="360" w:lineRule="auto"/>
        <w:ind w:firstLine="600" w:firstLineChars="200"/>
        <w:jc w:val="left"/>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组织对“校舍建设”1个项目开展了部门评价，涉及一般公共预算支出42.76万元，政府性基金预算支出42.76万元。从评价情况来看，</w:t>
      </w:r>
      <w:r>
        <w:rPr>
          <w:rFonts w:hint="eastAsia" w:ascii="仿宋" w:hAnsi="仿宋" w:eastAsia="仿宋" w:cs="仿宋_GB2312"/>
          <w:color w:val="auto"/>
          <w:kern w:val="0"/>
          <w:sz w:val="30"/>
          <w:szCs w:val="30"/>
          <w:lang w:bidi="ar"/>
        </w:rPr>
        <w:t>项目资金管理规范，资金使用及时，实现资金预期目标。</w:t>
      </w:r>
    </w:p>
    <w:p>
      <w:pPr>
        <w:numPr>
          <w:ilvl w:val="0"/>
          <w:numId w:val="3"/>
        </w:numPr>
        <w:autoSpaceDE w:val="0"/>
        <w:autoSpaceDN w:val="0"/>
        <w:adjustRightInd w:val="0"/>
        <w:spacing w:line="360" w:lineRule="auto"/>
        <w:ind w:firstLine="585"/>
        <w:jc w:val="left"/>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部门决算中项目绩效自评结果。</w:t>
      </w:r>
    </w:p>
    <w:p>
      <w:pPr>
        <w:autoSpaceDE w:val="0"/>
        <w:autoSpaceDN w:val="0"/>
        <w:adjustRightInd w:val="0"/>
        <w:spacing w:line="360" w:lineRule="auto"/>
        <w:ind w:firstLine="600" w:firstLineChars="200"/>
        <w:jc w:val="left"/>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我</w:t>
      </w:r>
      <w:r>
        <w:rPr>
          <w:rFonts w:hint="eastAsia" w:ascii="仿宋" w:hAnsi="仿宋" w:eastAsia="仿宋" w:cs="仿宋_GB2312"/>
          <w:color w:val="auto"/>
          <w:kern w:val="0"/>
          <w:sz w:val="30"/>
          <w:szCs w:val="30"/>
          <w:lang w:val="en-US" w:eastAsia="zh-CN"/>
        </w:rPr>
        <w:t>单位</w:t>
      </w:r>
      <w:r>
        <w:rPr>
          <w:rFonts w:hint="eastAsia" w:ascii="仿宋" w:hAnsi="仿宋" w:eastAsia="仿宋" w:cs="仿宋_GB2312"/>
          <w:color w:val="auto"/>
          <w:kern w:val="0"/>
          <w:sz w:val="30"/>
          <w:szCs w:val="30"/>
        </w:rPr>
        <w:t>今年在部门决算中反映校舍建设项目绩效自评结果。</w:t>
      </w:r>
    </w:p>
    <w:p>
      <w:pPr>
        <w:autoSpaceDE w:val="0"/>
        <w:autoSpaceDN w:val="0"/>
        <w:adjustRightInd w:val="0"/>
        <w:spacing w:line="360" w:lineRule="auto"/>
        <w:ind w:firstLine="600" w:firstLineChars="200"/>
        <w:jc w:val="left"/>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项目绩效自评总体综述：根据年初设定的绩效目标，校舍建设项目绩效自评得分为100分。项目全年预算数为42.76万元，执行数为42.76万元，完成预算的100%。项目绩效目标完成情况：一是保质保量按时完成；二是产生一定的社会效益，三是项目实施后师生满意程度较高。发现的问题及原因：无。下一步改进措施：无。</w:t>
      </w:r>
    </w:p>
    <w:p>
      <w:pPr>
        <w:pStyle w:val="2"/>
        <w:rPr>
          <w:rFonts w:hint="eastAsia"/>
          <w:color w:val="auto"/>
        </w:rPr>
      </w:pPr>
      <w:r>
        <w:rPr>
          <w:rFonts w:hint="eastAsia"/>
          <w:color w:val="auto"/>
        </w:rPr>
        <w:drawing>
          <wp:inline distT="0" distB="0" distL="114300" distR="114300">
            <wp:extent cx="5272405" cy="4077335"/>
            <wp:effectExtent l="0" t="0" r="4445" b="18415"/>
            <wp:docPr id="11" name="图片 22" descr="f8264874f56bbcd2350e1b642cd9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f8264874f56bbcd2350e1b642cd96d9"/>
                    <pic:cNvPicPr>
                      <a:picLocks noChangeAspect="1"/>
                    </pic:cNvPicPr>
                  </pic:nvPicPr>
                  <pic:blipFill>
                    <a:blip r:embed="rId16"/>
                    <a:stretch>
                      <a:fillRect/>
                    </a:stretch>
                  </pic:blipFill>
                  <pic:spPr>
                    <a:xfrm>
                      <a:off x="0" y="0"/>
                      <a:ext cx="5272405" cy="4077335"/>
                    </a:xfrm>
                    <a:prstGeom prst="rect">
                      <a:avLst/>
                    </a:prstGeom>
                    <a:noFill/>
                    <a:ln>
                      <a:noFill/>
                    </a:ln>
                  </pic:spPr>
                </pic:pic>
              </a:graphicData>
            </a:graphic>
          </wp:inline>
        </w:drawing>
      </w:r>
    </w:p>
    <w:p>
      <w:pPr>
        <w:widowControl/>
        <w:spacing w:line="600" w:lineRule="exact"/>
        <w:ind w:firstLine="640"/>
        <w:jc w:val="center"/>
        <w:rPr>
          <w:rFonts w:hint="eastAsia" w:ascii="宋体" w:hAnsi="宋体"/>
          <w:b/>
          <w:color w:val="auto"/>
          <w:sz w:val="32"/>
          <w:szCs w:val="32"/>
        </w:rPr>
      </w:pPr>
    </w:p>
    <w:p>
      <w:pPr>
        <w:widowControl/>
        <w:numPr>
          <w:ilvl w:val="0"/>
          <w:numId w:val="4"/>
        </w:numPr>
        <w:spacing w:line="600" w:lineRule="exact"/>
        <w:ind w:firstLine="640"/>
        <w:jc w:val="center"/>
        <w:rPr>
          <w:rFonts w:hint="eastAsia" w:ascii="宋体" w:hAnsi="宋体"/>
          <w:b/>
          <w:color w:val="auto"/>
          <w:sz w:val="32"/>
          <w:szCs w:val="32"/>
        </w:rPr>
      </w:pPr>
      <w:r>
        <w:rPr>
          <w:rFonts w:hint="eastAsia" w:ascii="宋体" w:hAnsi="宋体"/>
          <w:b/>
          <w:color w:val="auto"/>
          <w:sz w:val="32"/>
          <w:szCs w:val="32"/>
        </w:rPr>
        <w:t xml:space="preserve"> 名词解释</w:t>
      </w:r>
    </w:p>
    <w:p>
      <w:pPr>
        <w:pStyle w:val="2"/>
        <w:numPr>
          <w:ilvl w:val="0"/>
          <w:numId w:val="0"/>
        </w:numPr>
        <w:rPr>
          <w:rFonts w:hint="eastAsia"/>
        </w:rPr>
      </w:pPr>
    </w:p>
    <w:p>
      <w:pPr>
        <w:rPr>
          <w:rFonts w:hint="eastAsia" w:ascii="仿宋" w:hAnsi="仿宋" w:eastAsia="仿宋"/>
          <w:color w:val="auto"/>
          <w:sz w:val="30"/>
          <w:szCs w:val="30"/>
        </w:rPr>
      </w:pPr>
      <w:r>
        <w:rPr>
          <w:rFonts w:hint="eastAsia" w:ascii="仿宋" w:hAnsi="仿宋" w:eastAsia="仿宋"/>
          <w:color w:val="auto"/>
          <w:sz w:val="30"/>
          <w:szCs w:val="30"/>
        </w:rPr>
        <w:t>一、财政拨款收入：指单位本年度从本级财政部门取得的财政拨款，包括一般公共预算财政拨款和政府性基金预算财政拨款。</w:t>
      </w:r>
    </w:p>
    <w:p>
      <w:pPr>
        <w:rPr>
          <w:rFonts w:hint="eastAsia" w:ascii="仿宋" w:hAnsi="仿宋" w:eastAsia="仿宋"/>
          <w:color w:val="auto"/>
          <w:sz w:val="30"/>
          <w:szCs w:val="30"/>
        </w:rPr>
      </w:pPr>
      <w:r>
        <w:rPr>
          <w:rFonts w:hint="eastAsia" w:ascii="仿宋" w:hAnsi="仿宋" w:eastAsia="仿宋"/>
          <w:color w:val="auto"/>
          <w:sz w:val="30"/>
          <w:szCs w:val="30"/>
        </w:rPr>
        <w:t>二、上级补助收入：指事业单位从主管部门和上级单位取得的非财政补助收入。</w:t>
      </w:r>
    </w:p>
    <w:p>
      <w:pPr>
        <w:rPr>
          <w:rFonts w:hint="eastAsia" w:ascii="仿宋" w:hAnsi="仿宋" w:eastAsia="仿宋"/>
          <w:color w:val="auto"/>
          <w:sz w:val="30"/>
          <w:szCs w:val="30"/>
        </w:rPr>
      </w:pPr>
      <w:r>
        <w:rPr>
          <w:rFonts w:hint="eastAsia" w:ascii="仿宋" w:hAnsi="仿宋" w:eastAsia="仿宋"/>
          <w:color w:val="auto"/>
          <w:sz w:val="30"/>
          <w:szCs w:val="30"/>
        </w:rPr>
        <w:t>三、事业收入：指事业单位开展专业业务活动及其辅助活动取得的收入；事业单位收到的财政专户实际核拨的教育收费等资金在此反映。</w:t>
      </w:r>
    </w:p>
    <w:p>
      <w:pPr>
        <w:rPr>
          <w:rFonts w:hint="eastAsia" w:ascii="仿宋" w:hAnsi="仿宋" w:eastAsia="仿宋"/>
          <w:color w:val="auto"/>
          <w:sz w:val="30"/>
          <w:szCs w:val="30"/>
        </w:rPr>
      </w:pPr>
      <w:r>
        <w:rPr>
          <w:rFonts w:hint="eastAsia" w:ascii="仿宋" w:hAnsi="仿宋" w:eastAsia="仿宋"/>
          <w:color w:val="auto"/>
          <w:sz w:val="30"/>
          <w:szCs w:val="30"/>
        </w:rPr>
        <w:t>四、经营收入：指事业单位在专业业务活动及其辅助活动之外开展非独立核算经营活动取得的收入。（可结合部门实际收入情况举例说明） </w:t>
      </w:r>
    </w:p>
    <w:p>
      <w:pPr>
        <w:rPr>
          <w:rFonts w:hint="eastAsia" w:ascii="仿宋" w:hAnsi="仿宋" w:eastAsia="仿宋"/>
          <w:color w:val="auto"/>
          <w:sz w:val="30"/>
          <w:szCs w:val="30"/>
        </w:rPr>
      </w:pPr>
      <w:r>
        <w:rPr>
          <w:rFonts w:hint="eastAsia" w:ascii="仿宋" w:hAnsi="仿宋" w:eastAsia="仿宋"/>
          <w:color w:val="auto"/>
          <w:sz w:val="30"/>
          <w:szCs w:val="30"/>
        </w:rPr>
        <w:t>五、其他收入：指单位取得的除上述“财政拨款收入”、“事业收入”、“经营收入”、“附属单位缴款”等以外的各项收入。</w:t>
      </w:r>
    </w:p>
    <w:p>
      <w:pPr>
        <w:rPr>
          <w:rFonts w:hint="eastAsia" w:ascii="仿宋" w:hAnsi="仿宋" w:eastAsia="仿宋"/>
          <w:color w:val="auto"/>
          <w:sz w:val="30"/>
          <w:szCs w:val="30"/>
        </w:rPr>
      </w:pPr>
      <w:r>
        <w:rPr>
          <w:rFonts w:hint="eastAsia" w:ascii="仿宋" w:hAnsi="仿宋" w:eastAsia="仿宋"/>
          <w:color w:val="auto"/>
          <w:sz w:val="30"/>
          <w:szCs w:val="30"/>
        </w:rPr>
        <w:t>六、年初结转和结余：指单位上年结转本年使用的基本支出结转、项目支出结转和结余和经营结余。 </w:t>
      </w:r>
    </w:p>
    <w:p>
      <w:pPr>
        <w:rPr>
          <w:rFonts w:hint="eastAsia" w:ascii="仿宋" w:hAnsi="仿宋" w:eastAsia="仿宋"/>
          <w:color w:val="auto"/>
          <w:sz w:val="30"/>
          <w:szCs w:val="30"/>
        </w:rPr>
      </w:pPr>
      <w:r>
        <w:rPr>
          <w:rFonts w:hint="eastAsia" w:ascii="仿宋" w:hAnsi="仿宋" w:eastAsia="仿宋"/>
          <w:color w:val="auto"/>
          <w:sz w:val="30"/>
          <w:szCs w:val="30"/>
        </w:rPr>
        <w:t>七、年末结转和结余资金：指单位结转下年的基本支出结转、项目支出结转和结余和经营结余。</w:t>
      </w:r>
    </w:p>
    <w:p>
      <w:pPr>
        <w:rPr>
          <w:rFonts w:hint="eastAsia" w:ascii="仿宋" w:hAnsi="仿宋" w:eastAsia="仿宋"/>
          <w:color w:val="auto"/>
          <w:sz w:val="30"/>
          <w:szCs w:val="30"/>
        </w:rPr>
      </w:pPr>
      <w:r>
        <w:rPr>
          <w:rFonts w:hint="eastAsia" w:ascii="仿宋" w:hAnsi="仿宋" w:eastAsia="仿宋"/>
          <w:color w:val="auto"/>
          <w:sz w:val="30"/>
          <w:szCs w:val="30"/>
        </w:rPr>
        <w:t>八、基本支出：指为保障机构正常运转、完成日常工作任务而发生的人员支出和公用支出。 </w:t>
      </w:r>
    </w:p>
    <w:p>
      <w:pPr>
        <w:rPr>
          <w:rFonts w:hint="eastAsia" w:ascii="仿宋" w:hAnsi="仿宋" w:eastAsia="仿宋"/>
          <w:color w:val="auto"/>
          <w:sz w:val="30"/>
          <w:szCs w:val="30"/>
        </w:rPr>
      </w:pPr>
      <w:r>
        <w:rPr>
          <w:rFonts w:hint="eastAsia" w:ascii="仿宋" w:hAnsi="仿宋" w:eastAsia="仿宋"/>
          <w:color w:val="auto"/>
          <w:sz w:val="30"/>
          <w:szCs w:val="30"/>
        </w:rPr>
        <w:t>九、项目支出：指在基本支出之外为完成特定的行政任务或事业发展目标所发生的支出。 </w:t>
      </w:r>
    </w:p>
    <w:p>
      <w:pPr>
        <w:rPr>
          <w:rFonts w:hint="eastAsia" w:ascii="仿宋" w:hAnsi="仿宋" w:eastAsia="仿宋"/>
          <w:color w:val="auto"/>
          <w:sz w:val="30"/>
          <w:szCs w:val="30"/>
        </w:rPr>
      </w:pPr>
      <w:r>
        <w:rPr>
          <w:rFonts w:hint="eastAsia" w:ascii="仿宋" w:hAnsi="仿宋" w:eastAsia="仿宋"/>
          <w:color w:val="auto"/>
          <w:sz w:val="30"/>
          <w:szCs w:val="30"/>
        </w:rPr>
        <w:t>十、经营支出：指事业单位在专业业务活动及其辅助活动之外开展非独立核算经营活动发生的支出。</w:t>
      </w:r>
    </w:p>
    <w:p>
      <w:pPr>
        <w:rPr>
          <w:rFonts w:hint="eastAsia" w:ascii="仿宋" w:hAnsi="仿宋" w:eastAsia="仿宋"/>
          <w:color w:val="auto"/>
          <w:sz w:val="30"/>
          <w:szCs w:val="30"/>
        </w:rPr>
      </w:pPr>
      <w:r>
        <w:rPr>
          <w:rFonts w:hint="eastAsia" w:ascii="仿宋" w:hAnsi="仿宋" w:eastAsia="仿宋"/>
          <w:color w:val="auto"/>
          <w:sz w:val="30"/>
          <w:szCs w:val="30"/>
        </w:rPr>
        <w:t>十一、对附属单位补助支出：指事业单位用财政补助收入之外的收入对附属单位补助发生的支出。</w:t>
      </w:r>
    </w:p>
    <w:p>
      <w:pPr>
        <w:rPr>
          <w:rFonts w:hint="eastAsia" w:ascii="仿宋" w:hAnsi="仿宋" w:eastAsia="仿宋"/>
          <w:color w:val="auto"/>
          <w:sz w:val="30"/>
          <w:szCs w:val="30"/>
        </w:rPr>
      </w:pPr>
      <w:r>
        <w:rPr>
          <w:rFonts w:hint="eastAsia" w:ascii="仿宋" w:hAnsi="仿宋" w:eastAsia="仿宋"/>
          <w:color w:val="auto"/>
          <w:sz w:val="30"/>
          <w:szCs w:val="30"/>
        </w:rPr>
        <w:t>十二、“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rPr>
          <w:rFonts w:hint="eastAsia" w:ascii="仿宋" w:hAnsi="仿宋" w:eastAsia="仿宋"/>
          <w:color w:val="auto"/>
          <w:sz w:val="30"/>
          <w:szCs w:val="30"/>
        </w:rPr>
      </w:pPr>
      <w:r>
        <w:rPr>
          <w:rFonts w:hint="eastAsia" w:ascii="仿宋" w:hAnsi="仿宋" w:eastAsia="仿宋"/>
          <w:color w:val="auto"/>
          <w:sz w:val="30"/>
          <w:szCs w:val="30"/>
        </w:rPr>
        <w:t>十三、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rPr>
          <w:rFonts w:hint="eastAsia" w:ascii="仿宋" w:hAnsi="仿宋" w:eastAsia="仿宋"/>
          <w:color w:val="auto"/>
          <w:sz w:val="30"/>
          <w:szCs w:val="30"/>
        </w:rPr>
      </w:pPr>
    </w:p>
    <w:p>
      <w:pPr>
        <w:rPr>
          <w:rFonts w:hint="eastAsia" w:ascii="仿宋" w:hAnsi="仿宋" w:eastAsia="仿宋"/>
          <w:color w:val="auto"/>
          <w:sz w:val="30"/>
          <w:szCs w:val="30"/>
        </w:rPr>
      </w:pPr>
    </w:p>
    <w:p>
      <w:pPr>
        <w:rPr>
          <w:rFonts w:ascii="仿宋" w:hAnsi="仿宋" w:eastAsia="仿宋"/>
          <w:color w:val="auto"/>
          <w:sz w:val="30"/>
          <w:szCs w:val="30"/>
        </w:rPr>
      </w:pPr>
      <w:r>
        <w:rPr>
          <w:rFonts w:hint="eastAsia" w:ascii="仿宋" w:hAnsi="仿宋" w:eastAsia="仿宋"/>
          <w:color w:val="auto"/>
          <w:sz w:val="30"/>
          <w:szCs w:val="30"/>
        </w:rPr>
        <w:t xml:space="preserve"> </w:t>
      </w:r>
    </w:p>
    <w:p>
      <w:pPr>
        <w:spacing w:line="360" w:lineRule="auto"/>
        <w:rPr>
          <w:rFonts w:ascii="仿宋" w:hAnsi="仿宋" w:eastAsia="仿宋"/>
          <w:color w:val="auto"/>
          <w:sz w:val="30"/>
          <w:szCs w:val="30"/>
        </w:rPr>
      </w:pPr>
    </w:p>
    <w:sectPr>
      <w:headerReference r:id="rId3" w:type="default"/>
      <w:pgSz w:w="11906" w:h="16838"/>
      <w:pgMar w:top="1440" w:right="141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0DF0"/>
    <w:multiLevelType w:val="singleLevel"/>
    <w:tmpl w:val="AE430DF0"/>
    <w:lvl w:ilvl="0" w:tentative="0">
      <w:start w:val="1"/>
      <w:numFmt w:val="chineseCounting"/>
      <w:suff w:val="nothing"/>
      <w:lvlText w:val="（%1）"/>
      <w:lvlJc w:val="left"/>
      <w:rPr>
        <w:rFonts w:hint="eastAsia"/>
      </w:rPr>
    </w:lvl>
  </w:abstractNum>
  <w:abstractNum w:abstractNumId="1">
    <w:nsid w:val="D124C3D6"/>
    <w:multiLevelType w:val="singleLevel"/>
    <w:tmpl w:val="D124C3D6"/>
    <w:lvl w:ilvl="0" w:tentative="0">
      <w:start w:val="8"/>
      <w:numFmt w:val="chineseCounting"/>
      <w:suff w:val="nothing"/>
      <w:lvlText w:val="%1、"/>
      <w:lvlJc w:val="left"/>
      <w:rPr>
        <w:rFonts w:hint="eastAsia"/>
      </w:rPr>
    </w:lvl>
  </w:abstractNum>
  <w:abstractNum w:abstractNumId="2">
    <w:nsid w:val="E3EEA619"/>
    <w:multiLevelType w:val="singleLevel"/>
    <w:tmpl w:val="E3EEA619"/>
    <w:lvl w:ilvl="0" w:tentative="0">
      <w:start w:val="2"/>
      <w:numFmt w:val="chineseCounting"/>
      <w:suff w:val="nothing"/>
      <w:lvlText w:val="（%1）"/>
      <w:lvlJc w:val="left"/>
      <w:rPr>
        <w:rFonts w:hint="eastAsia"/>
      </w:rPr>
    </w:lvl>
  </w:abstractNum>
  <w:abstractNum w:abstractNumId="3">
    <w:nsid w:val="7F362C1B"/>
    <w:multiLevelType w:val="singleLevel"/>
    <w:tmpl w:val="7F362C1B"/>
    <w:lvl w:ilvl="0" w:tentative="0">
      <w:start w:val="4"/>
      <w:numFmt w:val="chineseCounting"/>
      <w:suff w:val="space"/>
      <w:lvlText w:val="第%1部分"/>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MDMzMWFmN2RjMGI2Y2U0Y2JhOGVkODc4NmMzNjAifQ=="/>
  </w:docVars>
  <w:rsids>
    <w:rsidRoot w:val="00172A27"/>
    <w:rsid w:val="0002280F"/>
    <w:rsid w:val="000820A7"/>
    <w:rsid w:val="002043EB"/>
    <w:rsid w:val="003D554B"/>
    <w:rsid w:val="00471CFC"/>
    <w:rsid w:val="005403A1"/>
    <w:rsid w:val="00620E4B"/>
    <w:rsid w:val="00903CA6"/>
    <w:rsid w:val="00A31A16"/>
    <w:rsid w:val="00AC4E92"/>
    <w:rsid w:val="00CD6089"/>
    <w:rsid w:val="00F6470B"/>
    <w:rsid w:val="00F87D2E"/>
    <w:rsid w:val="028B739F"/>
    <w:rsid w:val="076D374E"/>
    <w:rsid w:val="096E1D79"/>
    <w:rsid w:val="0E281CBB"/>
    <w:rsid w:val="0E510436"/>
    <w:rsid w:val="126619E6"/>
    <w:rsid w:val="16FC47B8"/>
    <w:rsid w:val="17636C08"/>
    <w:rsid w:val="195A6CF6"/>
    <w:rsid w:val="1AF63612"/>
    <w:rsid w:val="1B562253"/>
    <w:rsid w:val="1BBF610E"/>
    <w:rsid w:val="1C9F6334"/>
    <w:rsid w:val="1D1C0CC5"/>
    <w:rsid w:val="1F6F6428"/>
    <w:rsid w:val="223D7E66"/>
    <w:rsid w:val="24201257"/>
    <w:rsid w:val="2651307A"/>
    <w:rsid w:val="26DC177F"/>
    <w:rsid w:val="2D9519C3"/>
    <w:rsid w:val="2EB16DEB"/>
    <w:rsid w:val="311B4F0D"/>
    <w:rsid w:val="33B13482"/>
    <w:rsid w:val="364A64F2"/>
    <w:rsid w:val="36716B17"/>
    <w:rsid w:val="38E56925"/>
    <w:rsid w:val="3C124252"/>
    <w:rsid w:val="3D0F50C1"/>
    <w:rsid w:val="42010489"/>
    <w:rsid w:val="49A116BF"/>
    <w:rsid w:val="4EED34E2"/>
    <w:rsid w:val="4FBB2EA3"/>
    <w:rsid w:val="4FFD4C76"/>
    <w:rsid w:val="508634C3"/>
    <w:rsid w:val="547F605A"/>
    <w:rsid w:val="54B40C4B"/>
    <w:rsid w:val="57C35C95"/>
    <w:rsid w:val="589B7671"/>
    <w:rsid w:val="5ADF6158"/>
    <w:rsid w:val="62D938E6"/>
    <w:rsid w:val="62E33667"/>
    <w:rsid w:val="65CB7E93"/>
    <w:rsid w:val="67694BA9"/>
    <w:rsid w:val="67874F61"/>
    <w:rsid w:val="6C3559BD"/>
    <w:rsid w:val="6E483A60"/>
    <w:rsid w:val="782F72FA"/>
    <w:rsid w:val="784E0692"/>
    <w:rsid w:val="7A4875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cs="Times New Roman"/>
      <w:szCs w:val="24"/>
    </w:rPr>
  </w:style>
  <w:style w:type="paragraph" w:styleId="3">
    <w:name w:val="Balloon Text"/>
    <w:basedOn w:val="1"/>
    <w:link w:val="8"/>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link w:val="3"/>
    <w:qFormat/>
    <w:uiPriority w:val="0"/>
    <w:rPr>
      <w:sz w:val="18"/>
      <w:szCs w:val="18"/>
    </w:rPr>
  </w:style>
  <w:style w:type="character" w:customStyle="1" w:styleId="9">
    <w:name w:val="页脚 Char"/>
    <w:link w:val="4"/>
    <w:qFormat/>
    <w:uiPriority w:val="0"/>
    <w:rPr>
      <w:sz w:val="18"/>
      <w:szCs w:val="18"/>
    </w:rPr>
  </w:style>
  <w:style w:type="character" w:customStyle="1" w:styleId="10">
    <w:name w:val="页眉 Char"/>
    <w:link w:val="5"/>
    <w:qFormat/>
    <w:uiPriority w:val="0"/>
    <w:rPr>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16</Pages>
  <Words>3581</Words>
  <Characters>3993</Characters>
  <Lines>30</Lines>
  <Paragraphs>8</Paragraphs>
  <TotalTime>1</TotalTime>
  <ScaleCrop>false</ScaleCrop>
  <LinksUpToDate>false</LinksUpToDate>
  <CharactersWithSpaces>4134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2019-05-30T16:41:00Z</dcterms:created>
  <dc:creator>李嘉玉</dc:creator>
  <cp:lastModifiedBy>刘瑾</cp:lastModifiedBy>
  <cp:lastPrinted>2021-07-30T09:51:00Z</cp:lastPrinted>
  <dcterms:modified xsi:type="dcterms:W3CDTF">2022-09-06T11:52:08Z</dcterms:modified>
  <dc:title>李嘉玉</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A3D7FB0DD3954317B8AFD650B43AC93E</vt:lpwstr>
  </property>
</Properties>
</file>