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浮石乡中心小学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单位预算（草案）</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浮石乡中心小学</w:t>
      </w:r>
      <w:r>
        <w:rPr>
          <w:rFonts w:hint="eastAsia" w:ascii="楷体" w:hAnsi="楷体" w:eastAsia="楷体" w:cs="楷体"/>
          <w:b/>
          <w:bCs/>
          <w:color w:val="000000"/>
          <w:sz w:val="32"/>
          <w:szCs w:val="32"/>
        </w:rPr>
        <w:t>概况</w:t>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浮石乡中心小学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浮石乡中心小学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bCs/>
          <w:color w:val="000000"/>
          <w:sz w:val="32"/>
          <w:szCs w:val="32"/>
          <w:lang w:val="en-US" w:eastAsia="zh-CN"/>
        </w:rPr>
        <w:t>浮石乡中心小学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0D8C6E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浮石</w:t>
      </w:r>
      <w:r>
        <w:rPr>
          <w:rFonts w:hint="eastAsia" w:ascii="仿宋_GB2312" w:hAnsi="仿宋_GB2312" w:eastAsia="仿宋_GB2312"/>
          <w:sz w:val="32"/>
          <w:szCs w:val="32"/>
        </w:rPr>
        <w:t>乡中心小学为全额拨款事业单位，主管部门是区教科体局，法定代表人是</w:t>
      </w:r>
      <w:r>
        <w:rPr>
          <w:rFonts w:hint="eastAsia" w:ascii="仿宋_GB2312" w:hAnsi="仿宋_GB2312" w:eastAsia="仿宋_GB2312"/>
          <w:sz w:val="32"/>
          <w:szCs w:val="32"/>
          <w:lang w:val="en-US" w:eastAsia="zh-CN"/>
        </w:rPr>
        <w:t>罗运旺</w:t>
      </w:r>
      <w:r>
        <w:rPr>
          <w:rFonts w:hint="eastAsia" w:ascii="仿宋_GB2312" w:hAnsi="仿宋_GB2312" w:eastAsia="仿宋_GB2312"/>
          <w:sz w:val="32"/>
          <w:szCs w:val="32"/>
        </w:rPr>
        <w:t>，法定地址为南康区</w:t>
      </w:r>
      <w:r>
        <w:rPr>
          <w:rFonts w:hint="eastAsia" w:ascii="仿宋_GB2312" w:hAnsi="仿宋_GB2312" w:eastAsia="仿宋_GB2312"/>
          <w:sz w:val="32"/>
          <w:szCs w:val="32"/>
          <w:lang w:val="en-US" w:eastAsia="zh-CN"/>
        </w:rPr>
        <w:t>浮石</w:t>
      </w:r>
      <w:r>
        <w:rPr>
          <w:rFonts w:hint="eastAsia" w:ascii="仿宋_GB2312" w:hAnsi="仿宋_GB2312" w:eastAsia="仿宋_GB2312"/>
          <w:sz w:val="32"/>
          <w:szCs w:val="32"/>
          <w:lang w:eastAsia="zh-CN"/>
        </w:rPr>
        <w:t>乡圩上</w:t>
      </w:r>
      <w:r>
        <w:rPr>
          <w:rFonts w:hint="eastAsia" w:ascii="仿宋_GB2312" w:hAnsi="仿宋_GB2312" w:eastAsia="仿宋_GB2312"/>
          <w:sz w:val="32"/>
          <w:szCs w:val="32"/>
        </w:rPr>
        <w:t>。主要职责是实施小学义务教育，促进基础教育发展，小学学历教育（相关社会服务）</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96E00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sz w:val="32"/>
          <w:szCs w:val="32"/>
          <w:lang w:val="en-US" w:eastAsia="zh-CN"/>
        </w:rPr>
        <w:t>9个处室</w:t>
      </w:r>
      <w:r>
        <w:rPr>
          <w:rFonts w:hint="eastAsia" w:ascii="仿宋" w:hAnsi="仿宋" w:eastAsia="仿宋" w:cs="仿宋"/>
          <w:kern w:val="2"/>
          <w:sz w:val="32"/>
          <w:szCs w:val="30"/>
          <w:lang w:val="en-US" w:eastAsia="zh-CN"/>
        </w:rPr>
        <w:t>。</w:t>
      </w:r>
      <w:r>
        <w:rPr>
          <w:rFonts w:hint="eastAsia" w:ascii="仿宋" w:hAnsi="仿宋" w:eastAsia="仿宋" w:cs="仿宋"/>
          <w:sz w:val="32"/>
          <w:szCs w:val="32"/>
          <w:lang w:val="en-US" w:eastAsia="zh-CN"/>
        </w:rPr>
        <w:t>分别为</w:t>
      </w:r>
      <w:r>
        <w:rPr>
          <w:rFonts w:hint="eastAsia" w:ascii="仿宋" w:hAnsi="仿宋" w:eastAsia="仿宋" w:cs="仿宋"/>
          <w:sz w:val="32"/>
          <w:szCs w:val="32"/>
          <w:lang w:eastAsia="zh-CN"/>
        </w:rPr>
        <w:t>党政办、教导处、教研处、资助中心、幼教中心、总务处、校安办、德育处、少先队；</w:t>
      </w:r>
      <w:r>
        <w:rPr>
          <w:rFonts w:hint="eastAsia" w:ascii="仿宋" w:hAnsi="仿宋" w:eastAsia="仿宋" w:cs="仿宋"/>
          <w:sz w:val="32"/>
          <w:szCs w:val="32"/>
          <w:lang w:val="en-US" w:eastAsia="zh-CN"/>
        </w:rPr>
        <w:t>2个村小教学点，分别为浮石乡青云小学教学点、浮石乡窝窖联办高级小学教学点。</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367</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浮石乡中心小学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1006C67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1EDA52C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浮石乡中心小学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浮石乡中心小学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1660.93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57.80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888.91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49.78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37</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浮石乡中心小学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1660.93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57.80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888.16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49.80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858.73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29.41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772.77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1660.93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49.80</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96.83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9.28</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39.52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3.53</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114.72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114.72</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858.73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44.26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29.41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浮石乡中心小学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888.91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49.78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1660.93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96.83</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39.52</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114.72</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888.14</w:t>
      </w:r>
      <w:r>
        <w:rPr>
          <w:rFonts w:hint="eastAsia" w:ascii="仿宋" w:hAnsi="仿宋" w:eastAsia="仿宋" w:cs="仿宋"/>
          <w:kern w:val="2"/>
          <w:sz w:val="32"/>
          <w:szCs w:val="30"/>
          <w:lang w:eastAsia="zh-CN"/>
        </w:rPr>
        <w:t>万元，较上年</w:t>
      </w:r>
      <w:bookmarkStart w:id="0" w:name="_GoBack"/>
      <w:bookmarkEnd w:id="0"/>
      <w:r>
        <w:rPr>
          <w:rFonts w:hint="eastAsia" w:ascii="仿宋" w:hAnsi="仿宋" w:eastAsia="仿宋" w:cs="仿宋"/>
          <w:kern w:val="2"/>
          <w:sz w:val="32"/>
          <w:szCs w:val="30"/>
          <w:lang w:eastAsia="zh-CN"/>
        </w:rPr>
        <w:t>预算安排增加</w:t>
      </w:r>
      <w:r>
        <w:rPr>
          <w:rFonts w:hint="eastAsia" w:ascii="仿宋" w:hAnsi="仿宋" w:eastAsia="仿宋" w:cs="仿宋"/>
          <w:kern w:val="2"/>
          <w:sz w:val="32"/>
          <w:szCs w:val="30"/>
          <w:lang w:val="en-US" w:eastAsia="zh-CN"/>
        </w:rPr>
        <w:t>49.78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858.73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29.41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772.77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1AB5D47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2025年赣州市南康区浮石乡中心小学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7B314C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val="en-US" w:eastAsia="zh-CN"/>
        </w:rPr>
        <w:t>2025年赣州市南康区浮石乡中心小学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%，主要原因是学校没有机关运行经费。</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2025年赣州市南康区浮石乡中心小学政府采购总额</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（九）项目情况说明</w:t>
      </w:r>
    </w:p>
    <w:p w14:paraId="2784BB95">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2025年课后服务费</w:t>
      </w:r>
      <w:r>
        <w:rPr>
          <w:rFonts w:hint="eastAsia" w:ascii="仿宋_GB2312" w:eastAsia="仿宋_GB2312"/>
          <w:color w:val="000000"/>
          <w:sz w:val="32"/>
          <w:szCs w:val="30"/>
        </w:rPr>
        <w:t>项目</w:t>
      </w:r>
    </w:p>
    <w:p w14:paraId="2474C219">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w:t>
      </w:r>
      <w:r>
        <w:rPr>
          <w:rFonts w:hint="eastAsia" w:ascii="仿宋_GB2312" w:eastAsia="仿宋_GB2312"/>
          <w:color w:val="000000"/>
          <w:sz w:val="32"/>
          <w:szCs w:val="30"/>
        </w:rPr>
        <w:t>项目概述</w:t>
      </w:r>
    </w:p>
    <w:p w14:paraId="78B3AAE6">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为进一步满足新时代中小学生和家长对课后服务的迫切需求，帮助家长解决实际困难，增强教育公共服务能力，实施弹性上学服务，在校午休服务，课后兴趣活动、课后托管服务。</w:t>
      </w:r>
    </w:p>
    <w:p w14:paraId="0B6D3F84">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w:t>
      </w:r>
      <w:r>
        <w:rPr>
          <w:rFonts w:hint="eastAsia" w:ascii="仿宋_GB2312" w:eastAsia="仿宋_GB2312"/>
          <w:color w:val="000000"/>
          <w:sz w:val="32"/>
          <w:szCs w:val="30"/>
        </w:rPr>
        <w:t>立项依据</w:t>
      </w:r>
    </w:p>
    <w:p w14:paraId="3203BDCE">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教育部《关于做好中小学生课后服务工作的指导意见》(教基一厅〔2017〕2号)、江西省教育厅等四部门《关于做好全省中小学生课后服务工作的指导意见》(赣教发〔2019〕10号)、南康区政府办康府办抄字〔2021〕25号、南康区教科体局等四部门关于印发《赣州市南康区中小学生课后服务工作实施方案（试行）》（康教科体联字〔2021〕3号）等文件精神，结合《赣州市南康区中小学生课后服务工作实施方案（试行）》的通知。</w:t>
      </w:r>
    </w:p>
    <w:p w14:paraId="7D39D168">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本着充分尊重家长，学生的需求和意愿，由家长自愿报名参加课后服务原则。学校事先征求家长的意见，主动告知服务方式、服务内容、安全保障措施，由家长向学校提出申请、登记。课后服务安排在校园内进行，并合理利用学校现有条件。学校提供教室、运动场地、功能室等场所及其它后勤安全保障。学校完善安全管理制度，切实保障学生安全，制定落实严格的考勤、监管措施。</w:t>
      </w:r>
    </w:p>
    <w:p w14:paraId="48B19CC8">
      <w:pPr>
        <w:widowControl/>
        <w:numPr>
          <w:ilvl w:val="0"/>
          <w:numId w:val="0"/>
        </w:numPr>
        <w:spacing w:line="600" w:lineRule="exact"/>
        <w:ind w:left="800" w:leftChars="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实施主体</w:t>
      </w:r>
    </w:p>
    <w:p w14:paraId="4958CCEA">
      <w:pPr>
        <w:widowControl/>
        <w:numPr>
          <w:ilvl w:val="0"/>
          <w:numId w:val="0"/>
        </w:numPr>
        <w:spacing w:line="600" w:lineRule="exact"/>
        <w:ind w:left="800"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自愿参与课后服务的学生。</w:t>
      </w:r>
    </w:p>
    <w:p w14:paraId="004C51C7">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实施方案</w:t>
      </w:r>
    </w:p>
    <w:p w14:paraId="30279FC8">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1.弹性上学服务。在严格执行国家课程方案、开齐开足课程前提下，实行弹性上学，尽量早开校门，让家长能够从容送孩子上学；强化早到学生管理，使学生“早到可进校、进校有活动、活动有监管”。</w:t>
      </w:r>
    </w:p>
    <w:p w14:paraId="1F0B67B0">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2.在校午休服务。服务时间为午餐后至下午上课前。服务内容为：开放本班教室，所供学生午休。</w:t>
      </w:r>
    </w:p>
    <w:p w14:paraId="38C5E02A">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3.课后兴趣活动、课后托管服务。学校开设了篮球、语文阅读及方法指导、音乐、美术、作业辅导等服务时间为周一至周</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下午放学后1</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40</w:t>
      </w:r>
      <w:r>
        <w:rPr>
          <w:rFonts w:hint="eastAsia" w:ascii="仿宋_GB2312" w:eastAsia="仿宋_GB2312"/>
          <w:color w:val="000000"/>
          <w:sz w:val="32"/>
          <w:szCs w:val="30"/>
        </w:rPr>
        <w:t>～17:</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0每天2课时。</w:t>
      </w:r>
    </w:p>
    <w:p w14:paraId="21144C6C">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实施周期</w:t>
      </w:r>
    </w:p>
    <w:p w14:paraId="1C4E2826">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2025年全年在校时间。</w:t>
      </w:r>
    </w:p>
    <w:p w14:paraId="23DC913C">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lang w:eastAsia="zh-CN"/>
        </w:rPr>
        <w:t>）</w:t>
      </w:r>
      <w:r>
        <w:rPr>
          <w:rFonts w:hint="eastAsia" w:ascii="仿宋_GB2312" w:eastAsia="仿宋_GB2312"/>
          <w:color w:val="000000"/>
          <w:sz w:val="32"/>
          <w:szCs w:val="30"/>
        </w:rPr>
        <w:t>年度预算安排</w:t>
      </w:r>
    </w:p>
    <w:p w14:paraId="0CA6BEDE">
      <w:pPr>
        <w:widowControl/>
        <w:numPr>
          <w:ilvl w:val="0"/>
          <w:numId w:val="0"/>
        </w:numPr>
        <w:spacing w:line="600" w:lineRule="exact"/>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按生均540元/学期收取课后服务费，用于发放教师报酬，学校日常运行开支等。</w:t>
      </w:r>
    </w:p>
    <w:p w14:paraId="72D72421">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lang w:eastAsia="zh-CN"/>
        </w:rPr>
        <w:t>）</w:t>
      </w:r>
      <w:r>
        <w:rPr>
          <w:rFonts w:hint="eastAsia" w:ascii="仿宋_GB2312" w:eastAsia="仿宋_GB2312"/>
          <w:color w:val="000000"/>
          <w:sz w:val="32"/>
          <w:szCs w:val="30"/>
        </w:rPr>
        <w:t>绩效目标和指标</w:t>
      </w:r>
    </w:p>
    <w:p w14:paraId="5AA87323">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1、数量指标：对有需求参加课后延时服务、寒暑假托管的学生，实现目标100%的接纳目标；学生在校托管期间，实现100%有教师看管目标。</w:t>
      </w:r>
    </w:p>
    <w:p w14:paraId="07B4B384">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2、时效指标：按时开放校门，实现率达到100%，及时发放教师延时服务补助及时率达到90%以上，及时公布服务费开支情况，及时率达到90%以上。</w:t>
      </w:r>
    </w:p>
    <w:p w14:paraId="630A79E0">
      <w:pPr>
        <w:widowControl/>
        <w:spacing w:line="580" w:lineRule="exact"/>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3、满意度指标：课后服务工作家长满意度达到85%以上，学生满意度达到90%以上，教师满意度达到90%以上。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2025年赣州市南康区浮石乡中心小学"三公"经费一般公共预算安排0.77万元，较少年增加0万元，其中：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因公出国（境）费</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公务接待0.77万元，比上年增加0万元，主要原因是：</w:t>
      </w:r>
      <w:r>
        <w:rPr>
          <w:rFonts w:hint="eastAsia" w:ascii="仿宋" w:hAnsi="仿宋" w:eastAsia="仿宋"/>
          <w:bCs/>
          <w:sz w:val="32"/>
          <w:szCs w:val="32"/>
          <w:lang w:eastAsia="zh-CN"/>
        </w:rPr>
        <w:t>严格控制接待标准，厉行勤俭节约</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EAD79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15045294">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（一）行政运行：</w:t>
      </w:r>
      <w:r>
        <w:rPr>
          <w:rFonts w:hint="eastAsia" w:ascii="仿宋_GB2312" w:hAnsi="仿宋_GB2312" w:eastAsia="仿宋_GB2312" w:cs="仿宋_GB2312"/>
          <w:sz w:val="32"/>
          <w:szCs w:val="32"/>
          <w:lang w:eastAsia="zh-CN"/>
        </w:rPr>
        <w:t>反映行政单位（包括实行公务员管理的事业单位）的基本支出。</w:t>
      </w:r>
    </w:p>
    <w:p w14:paraId="13C5F90C">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（二）一般行政管理事务：</w:t>
      </w:r>
      <w:r>
        <w:rPr>
          <w:rFonts w:hint="eastAsia" w:ascii="仿宋_GB2312" w:hAnsi="仿宋_GB2312" w:eastAsia="仿宋_GB2312" w:cs="仿宋_GB2312"/>
          <w:sz w:val="32"/>
          <w:szCs w:val="32"/>
          <w:lang w:eastAsia="zh-CN"/>
        </w:rPr>
        <w:t>反映行政单位（包括实行公务员管理的事业单位）未单独设置项级科目的其他项目支出。</w:t>
      </w:r>
    </w:p>
    <w:p w14:paraId="499CDF50">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（三）事业运行：</w:t>
      </w:r>
      <w:r>
        <w:rPr>
          <w:rFonts w:hint="eastAsia" w:ascii="仿宋_GB2312" w:hAnsi="仿宋_GB2312" w:eastAsia="仿宋_GB2312" w:cs="仿宋_GB2312"/>
          <w:sz w:val="32"/>
          <w:szCs w:val="32"/>
          <w:lang w:eastAsia="zh-CN"/>
        </w:rPr>
        <w:t>反映事业单位的基本支出。</w:t>
      </w:r>
    </w:p>
    <w:p w14:paraId="11D295A6">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（四）机关事业单位基本养老保险缴费支出：</w:t>
      </w:r>
      <w:r>
        <w:rPr>
          <w:rFonts w:hint="eastAsia" w:ascii="仿宋_GB2312" w:hAnsi="仿宋_GB2312" w:eastAsia="仿宋_GB2312" w:cs="仿宋_GB2312"/>
          <w:sz w:val="32"/>
          <w:szCs w:val="32"/>
          <w:lang w:eastAsia="zh-CN"/>
        </w:rPr>
        <w:t>反映机关事业单位实施养老保险制度由单位缴纳的基本养老保险费的支出。</w:t>
      </w:r>
    </w:p>
    <w:p w14:paraId="05D0A555">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（五）行政单位医疗：</w:t>
      </w:r>
      <w:r>
        <w:rPr>
          <w:rFonts w:hint="eastAsia" w:ascii="仿宋_GB2312" w:hAnsi="仿宋_GB2312" w:eastAsia="仿宋_GB2312" w:cs="仿宋_GB2312"/>
          <w:sz w:val="32"/>
          <w:szCs w:val="32"/>
          <w:lang w:eastAsia="zh-CN"/>
        </w:rPr>
        <w:t>反映财政部门安排的行政单位（包括实行公务员管理的事业单位）基本医疗保险缴费经费。</w:t>
      </w:r>
    </w:p>
    <w:p w14:paraId="367319CB">
      <w:pPr>
        <w:ind w:firstLine="643" w:firstLineChars="200"/>
        <w:jc w:val="both"/>
        <w:rPr>
          <w:rFonts w:hint="eastAsia" w:ascii="仿宋" w:hAnsi="仿宋" w:eastAsia="仿宋" w:cs="仿宋"/>
          <w:color w:val="auto"/>
          <w:kern w:val="2"/>
          <w:sz w:val="32"/>
          <w:szCs w:val="30"/>
          <w:lang w:eastAsia="zh-CN"/>
        </w:rPr>
      </w:pPr>
      <w:r>
        <w:rPr>
          <w:rFonts w:hint="eastAsia" w:ascii="仿宋_GB2312" w:hAnsi="仿宋_GB2312" w:eastAsia="仿宋_GB2312" w:cs="仿宋_GB2312"/>
          <w:b/>
          <w:bCs/>
          <w:sz w:val="32"/>
          <w:szCs w:val="32"/>
          <w:lang w:eastAsia="zh-CN"/>
        </w:rPr>
        <w:t>（六）事业单位医疗：</w:t>
      </w:r>
      <w:r>
        <w:rPr>
          <w:rFonts w:hint="eastAsia" w:ascii="仿宋_GB2312" w:hAnsi="仿宋_GB2312" w:eastAsia="仿宋_GB2312" w:cs="仿宋_GB2312"/>
          <w:sz w:val="32"/>
          <w:szCs w:val="32"/>
          <w:lang w:eastAsia="zh-CN"/>
        </w:rPr>
        <w:t>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6B7CE6D9">
      <w:pPr>
        <w:ind w:firstLine="600"/>
        <w:jc w:val="both"/>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C48E33E">
      <w:pPr>
        <w:ind w:firstLine="600"/>
        <w:jc w:val="both"/>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A5861C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4533EA6"/>
    <w:rsid w:val="2C142CD4"/>
    <w:rsid w:val="2D9F180A"/>
    <w:rsid w:val="2ED52685"/>
    <w:rsid w:val="361F021D"/>
    <w:rsid w:val="368C578D"/>
    <w:rsid w:val="377E58E4"/>
    <w:rsid w:val="3A331955"/>
    <w:rsid w:val="3B7D5295"/>
    <w:rsid w:val="3C635260"/>
    <w:rsid w:val="3F8A2AD8"/>
    <w:rsid w:val="4C6139E1"/>
    <w:rsid w:val="50622BE2"/>
    <w:rsid w:val="598F4A10"/>
    <w:rsid w:val="691507DE"/>
    <w:rsid w:val="6BCC2FDC"/>
    <w:rsid w:val="733F28AB"/>
    <w:rsid w:val="76A038F3"/>
    <w:rsid w:val="780806A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2254</Words>
  <Characters>2477</Characters>
  <Lines>0</Lines>
  <Paragraphs>0</Paragraphs>
  <TotalTime>6</TotalTime>
  <ScaleCrop>false</ScaleCrop>
  <LinksUpToDate>false</LinksUpToDate>
  <CharactersWithSpaces>2496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止戰之殤</cp:lastModifiedBy>
  <cp:lastPrinted>2024-02-19T02:53:00Z</cp:lastPrinted>
  <dcterms:modified xsi:type="dcterms:W3CDTF">2025-02-07T02:44:16Z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0BFF3B5C4A1B46A89E8CD3C0A3EC90C3_13</vt:lpwstr>
  </property>
  <property fmtid="{D5CDD505-2E9C-101B-9397-08002B2CF9AE}" pid="4" name="KSOTemplateDocerSaveRecord">
    <vt:lpwstr>eyJoZGlkIjoiMzJjNzczNGEzNGUyNGRjZjVlN2ZmYjE2MjY5YjRhMTkiLCJ1c2VySWQiOiI0ODU1NjUyMTkifQ==</vt:lpwstr>
  </property>
</Properties>
</file>