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方正小标宋简体" w:hAnsi="仿宋_GB2312" w:eastAsia="方正小标宋简体"/>
          <w:color w:val="FF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赣州市南康区</w:t>
      </w:r>
      <w:r>
        <w:rPr>
          <w:rFonts w:hint="eastAsia" w:ascii="方正小标宋简体" w:hAnsi="方正小标宋简体" w:eastAsia="方正小标宋简体" w:cs="方正小标宋简体"/>
          <w:sz w:val="44"/>
          <w:szCs w:val="44"/>
          <w:lang w:val="en-US" w:eastAsia="zh-CN"/>
        </w:rPr>
        <w:t>龙回镇三益片中心小学</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单位预算</w:t>
      </w:r>
    </w:p>
    <w:p>
      <w:pPr>
        <w:pStyle w:val="6"/>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bookmarkStart w:id="0" w:name="_GoBack"/>
      <w:bookmarkEnd w:id="0"/>
    </w:p>
    <w:p>
      <w:pPr>
        <w:pStyle w:val="6"/>
        <w:keepNext w:val="0"/>
        <w:keepLines w:val="0"/>
        <w:pageBreakBefore w:val="0"/>
        <w:widowControl/>
        <w:tabs>
          <w:tab w:val="right" w:pos="8306"/>
        </w:tabs>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龙回镇三益片中心小学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赣州市南康区龙回镇三益片中心小学2025年部门预算表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赣州市南康区龙回镇三益片中心小学2025年部门预算情况说明</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一、2025年部门预算收支情况说明</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二、2025年“三公”经费预算情况说明</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lang w:eastAsia="zh-CN"/>
        </w:rPr>
        <w:t>赣州市南康区龙回镇三益片中心小学</w:t>
      </w:r>
      <w:r>
        <w:rPr>
          <w:rFonts w:hint="eastAsia" w:ascii="黑体" w:hAnsi="黑体" w:eastAsia="黑体" w:cs="黑体"/>
          <w:b w:val="0"/>
          <w:bCs/>
          <w:sz w:val="32"/>
          <w:szCs w:val="30"/>
        </w:rPr>
        <w:t>概况</w:t>
      </w:r>
    </w:p>
    <w:p>
      <w:pPr>
        <w:keepNext w:val="0"/>
        <w:keepLines w:val="0"/>
        <w:pageBreakBefore w:val="0"/>
        <w:kinsoku/>
        <w:wordWrap/>
        <w:overflowPunct/>
        <w:topLinePunct w:val="0"/>
        <w:autoSpaceDE/>
        <w:autoSpaceDN/>
        <w:bidi w:val="0"/>
        <w:adjustRightInd w:val="0"/>
        <w:snapToGrid w:val="0"/>
        <w:spacing w:line="240" w:lineRule="auto"/>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240" w:lineRule="auto"/>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龙回镇三益片中心小学是区教育科技体育局的下属部门，</w:t>
      </w:r>
      <w:r>
        <w:rPr>
          <w:rFonts w:hint="eastAsia" w:ascii="仿宋_GB2312" w:hAnsi="仿宋_GB2312" w:eastAsia="仿宋_GB2312"/>
          <w:sz w:val="32"/>
          <w:szCs w:val="32"/>
        </w:rPr>
        <w:t>主要职责是：全面贯彻党的教育方针，推行素质教育，加强师德建设，实施</w:t>
      </w:r>
      <w:r>
        <w:rPr>
          <w:rFonts w:hint="eastAsia" w:ascii="仿宋_GB2312" w:hAnsi="仿宋_GB2312" w:eastAsia="仿宋_GB2312"/>
          <w:sz w:val="32"/>
          <w:szCs w:val="32"/>
          <w:lang w:val="en-US" w:eastAsia="zh-CN"/>
        </w:rPr>
        <w:t>小学</w:t>
      </w:r>
      <w:r>
        <w:rPr>
          <w:rFonts w:hint="eastAsia" w:ascii="仿宋_GB2312" w:hAnsi="仿宋_GB2312" w:eastAsia="仿宋_GB2312"/>
          <w:sz w:val="32"/>
          <w:szCs w:val="32"/>
        </w:rPr>
        <w:t>义务教育，促进义务教育发展。</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年赣州市南康区</w:t>
      </w:r>
      <w:r>
        <w:rPr>
          <w:rFonts w:hint="eastAsia" w:ascii="仿宋_GB2312" w:hAnsi="仿宋_GB2312" w:eastAsia="仿宋_GB2312"/>
          <w:sz w:val="32"/>
          <w:szCs w:val="32"/>
          <w:lang w:val="en-US" w:eastAsia="zh-CN"/>
        </w:rPr>
        <w:t>龙回镇三益片中心小学</w:t>
      </w:r>
      <w:r>
        <w:rPr>
          <w:rFonts w:hint="eastAsia" w:ascii="仿宋_GB2312" w:hAnsi="仿宋_GB2312" w:eastAsia="仿宋_GB2312"/>
          <w:sz w:val="32"/>
          <w:szCs w:val="32"/>
        </w:rPr>
        <w:t>共有预算单位</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个，包括：</w:t>
      </w:r>
      <w:r>
        <w:rPr>
          <w:rFonts w:hint="eastAsia" w:ascii="仿宋_GB2312" w:hAnsi="仿宋_GB2312" w:eastAsia="仿宋_GB2312"/>
          <w:sz w:val="32"/>
          <w:szCs w:val="32"/>
          <w:lang w:val="en-US" w:eastAsia="zh-CN"/>
        </w:rPr>
        <w:t>1个</w:t>
      </w:r>
      <w:r>
        <w:rPr>
          <w:rFonts w:hint="eastAsia" w:ascii="仿宋_GB2312" w:hAnsi="仿宋_GB2312" w:eastAsia="仿宋_GB2312"/>
          <w:sz w:val="32"/>
          <w:szCs w:val="32"/>
        </w:rPr>
        <w:t>本级预算单位。</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45</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w:t>
      </w:r>
      <w:r>
        <w:rPr>
          <w:rFonts w:hint="eastAsia" w:ascii="仿宋" w:hAnsi="仿宋" w:eastAsia="仿宋" w:cs="仿宋"/>
          <w:color w:val="auto"/>
          <w:kern w:val="2"/>
          <w:sz w:val="32"/>
          <w:szCs w:val="30"/>
          <w:lang w:eastAsia="zh-CN"/>
        </w:rPr>
        <w:t>遗属人数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w:t>
      </w:r>
      <w:r>
        <w:rPr>
          <w:rFonts w:hint="eastAsia" w:ascii="仿宋" w:hAnsi="仿宋" w:eastAsia="仿宋" w:cs="仿宋"/>
          <w:kern w:val="2"/>
          <w:sz w:val="32"/>
          <w:szCs w:val="30"/>
          <w:lang w:val="en-US" w:eastAsia="zh-CN"/>
        </w:rPr>
        <w:t>。</w:t>
      </w:r>
      <w:r>
        <w:rPr>
          <w:rFonts w:hint="eastAsia" w:ascii="仿宋" w:hAnsi="仿宋" w:eastAsia="仿宋" w:cs="仿宋"/>
          <w:kern w:val="2"/>
          <w:sz w:val="32"/>
          <w:szCs w:val="30"/>
          <w:lang w:val="en-US" w:eastAsia="zh-CN"/>
        </w:rPr>
        <w:fldChar w:fldCharType="begin"/>
      </w:r>
      <w:r>
        <w:rPr>
          <w:rFonts w:hint="eastAsia" w:ascii="仿宋" w:hAnsi="仿宋" w:eastAsia="仿宋" w:cs="仿宋"/>
          <w:kern w:val="2"/>
          <w:sz w:val="32"/>
          <w:szCs w:val="30"/>
          <w:lang w:val="en-US" w:eastAsia="zh-CN"/>
        </w:rPr>
        <w:instrText xml:space="preserve">MERGEFIELD ${page400644146.ds532982397_REP_JX_BAS_AGENCY_INFO_ZYFRS_S_ZXXSMX}</w:instrText>
      </w:r>
      <w:r>
        <w:rPr>
          <w:rFonts w:hint="eastAsia" w:ascii="仿宋" w:hAnsi="仿宋" w:eastAsia="仿宋" w:cs="仿宋"/>
          <w:kern w:val="2"/>
          <w:sz w:val="32"/>
          <w:szCs w:val="30"/>
          <w:lang w:val="en-US" w:eastAsia="zh-CN"/>
        </w:rPr>
        <w:fldChar w:fldCharType="separate"/>
      </w:r>
      <w:r>
        <w:rPr>
          <w:rFonts w:hint="eastAsia" w:ascii="仿宋" w:hAnsi="仿宋" w:eastAsia="仿宋" w:cs="仿宋"/>
          <w:kern w:val="2"/>
          <w:sz w:val="32"/>
          <w:szCs w:val="30"/>
          <w:lang w:val="en-US" w:eastAsia="zh-CN"/>
        </w:rPr>
        <w:t>在校学生394人,其中：小学394人，幼儿园77人。</w:t>
      </w:r>
      <w:r>
        <w:rPr>
          <w:rFonts w:hint="eastAsia" w:ascii="仿宋" w:hAnsi="仿宋" w:eastAsia="仿宋" w:cs="仿宋"/>
          <w:kern w:val="2"/>
          <w:sz w:val="32"/>
          <w:szCs w:val="30"/>
          <w:lang w:val="en-US" w:eastAsia="zh-CN"/>
        </w:rPr>
        <w:fldChar w:fldCharType="end"/>
      </w:r>
    </w:p>
    <w:p>
      <w:pPr>
        <w:keepNext w:val="0"/>
        <w:keepLines w:val="0"/>
        <w:pageBreakBefore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黑体" w:hAnsi="黑体" w:eastAsia="黑体" w:cs="黑体"/>
          <w:b w:val="0"/>
          <w:bCs/>
          <w:sz w:val="32"/>
          <w:szCs w:val="30"/>
        </w:rPr>
      </w:pPr>
    </w:p>
    <w:p>
      <w:pPr>
        <w:keepNext w:val="0"/>
        <w:keepLines w:val="0"/>
        <w:pageBreakBefore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黑体" w:hAnsi="黑体" w:eastAsia="黑体" w:cs="黑体"/>
          <w:b w:val="0"/>
          <w:bCs/>
          <w:sz w:val="32"/>
          <w:szCs w:val="30"/>
        </w:rPr>
      </w:pPr>
    </w:p>
    <w:p>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lang w:eastAsia="zh-CN"/>
        </w:rPr>
        <w:t>赣州市南康区龙回镇三益片中心小学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lang w:eastAsia="zh-CN"/>
        </w:rPr>
      </w:pPr>
      <w:r>
        <w:rPr>
          <w:rFonts w:hint="eastAsia"/>
          <w:lang w:val="en-US" w:eastAsia="zh-CN"/>
        </w:rPr>
        <w:t xml:space="preserve">      </w:t>
      </w:r>
      <w:r>
        <w:rPr>
          <w:rFonts w:hint="eastAsia" w:ascii="黑体" w:hAnsi="黑体" w:eastAsia="黑体" w:cs="黑体"/>
          <w:b w:val="0"/>
          <w:bCs/>
          <w:sz w:val="32"/>
          <w:szCs w:val="30"/>
          <w:lang w:eastAsia="zh-CN"/>
        </w:rPr>
        <w:drawing>
          <wp:inline distT="0" distB="0" distL="114300" distR="114300">
            <wp:extent cx="5267960" cy="2237105"/>
            <wp:effectExtent l="0" t="0" r="8890" b="1079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5267960" cy="2237105"/>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lang w:eastAsia="zh-CN"/>
        </w:rPr>
      </w:pP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lang w:eastAsia="zh-CN"/>
        </w:rPr>
        <w:drawing>
          <wp:inline distT="0" distB="0" distL="114300" distR="114300">
            <wp:extent cx="5274945" cy="2950210"/>
            <wp:effectExtent l="0" t="0" r="1905" b="254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274945" cy="2950210"/>
                    </a:xfrm>
                    <a:prstGeom prst="rect">
                      <a:avLst/>
                    </a:prstGeom>
                  </pic:spPr>
                </pic:pic>
              </a:graphicData>
            </a:graphic>
          </wp:inline>
        </w:drawing>
      </w:r>
      <w:r>
        <w:rPr>
          <w:rFonts w:hint="eastAsia" w:ascii="黑体" w:hAnsi="黑体" w:eastAsia="黑体" w:cs="黑体"/>
          <w:b w:val="0"/>
          <w:bCs/>
          <w:sz w:val="32"/>
          <w:szCs w:val="30"/>
          <w:lang w:eastAsia="zh-CN"/>
        </w:rPr>
        <w:drawing>
          <wp:inline distT="0" distB="0" distL="114300" distR="114300">
            <wp:extent cx="5273675" cy="2710815"/>
            <wp:effectExtent l="0" t="0" r="3175" b="1333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9"/>
                    <a:stretch>
                      <a:fillRect/>
                    </a:stretch>
                  </pic:blipFill>
                  <pic:spPr>
                    <a:xfrm>
                      <a:off x="0" y="0"/>
                      <a:ext cx="5273675" cy="2710815"/>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lang w:eastAsia="zh-CN"/>
        </w:rPr>
      </w:pPr>
    </w:p>
    <w:p>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p>
    <w:p>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lang w:eastAsia="zh-CN"/>
        </w:rPr>
      </w:pPr>
      <w:r>
        <w:drawing>
          <wp:inline distT="0" distB="0" distL="114300" distR="114300">
            <wp:extent cx="5172075" cy="2252345"/>
            <wp:effectExtent l="0" t="0" r="9525" b="14605"/>
            <wp:docPr id="26" name="图片 15"/>
            <wp:cNvGraphicFramePr/>
            <a:graphic xmlns:a="http://schemas.openxmlformats.org/drawingml/2006/main">
              <a:graphicData uri="http://schemas.openxmlformats.org/drawingml/2006/picture">
                <pic:pic xmlns:pic="http://schemas.openxmlformats.org/drawingml/2006/picture">
                  <pic:nvPicPr>
                    <pic:cNvPr id="26" name="图片 15"/>
                    <pic:cNvPicPr/>
                  </pic:nvPicPr>
                  <pic:blipFill>
                    <a:blip r:embed="rId10"/>
                    <a:stretch>
                      <a:fillRect/>
                    </a:stretch>
                  </pic:blipFill>
                  <pic:spPr>
                    <a:xfrm>
                      <a:off x="0" y="0"/>
                      <a:ext cx="5172075" cy="225234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ind w:firstLine="1056" w:firstLineChars="330"/>
        <w:jc w:val="both"/>
        <w:textAlignment w:val="auto"/>
        <w:rPr>
          <w:rFonts w:hint="eastAsia" w:ascii="黑体" w:hAnsi="黑体" w:eastAsia="黑体" w:cs="黑体"/>
          <w:b w:val="0"/>
          <w:bCs/>
          <w:sz w:val="32"/>
          <w:szCs w:val="30"/>
          <w:lang w:eastAsia="zh-CN"/>
        </w:rPr>
      </w:pPr>
    </w:p>
    <w:p>
      <w:pPr>
        <w:keepNext w:val="0"/>
        <w:keepLines w:val="0"/>
        <w:pageBreakBefore w:val="0"/>
        <w:kinsoku/>
        <w:wordWrap/>
        <w:overflowPunct/>
        <w:topLinePunct w:val="0"/>
        <w:autoSpaceDE/>
        <w:autoSpaceDN/>
        <w:bidi w:val="0"/>
        <w:adjustRightInd w:val="0"/>
        <w:snapToGrid w:val="0"/>
        <w:spacing w:line="240" w:lineRule="auto"/>
        <w:jc w:val="both"/>
        <w:textAlignment w:val="auto"/>
      </w:pPr>
      <w:r>
        <w:drawing>
          <wp:inline distT="0" distB="0" distL="114300" distR="114300">
            <wp:extent cx="5156200" cy="2359025"/>
            <wp:effectExtent l="0" t="0" r="6350" b="3175"/>
            <wp:docPr id="30" name="图片 16"/>
            <wp:cNvGraphicFramePr/>
            <a:graphic xmlns:a="http://schemas.openxmlformats.org/drawingml/2006/main">
              <a:graphicData uri="http://schemas.openxmlformats.org/drawingml/2006/picture">
                <pic:pic xmlns:pic="http://schemas.openxmlformats.org/drawingml/2006/picture">
                  <pic:nvPicPr>
                    <pic:cNvPr id="30" name="图片 16"/>
                    <pic:cNvPicPr/>
                  </pic:nvPicPr>
                  <pic:blipFill>
                    <a:blip r:embed="rId11"/>
                    <a:stretch>
                      <a:fillRect/>
                    </a:stretch>
                  </pic:blipFill>
                  <pic:spPr>
                    <a:xfrm>
                      <a:off x="0" y="0"/>
                      <a:ext cx="5156200" cy="23590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both"/>
        <w:textAlignment w:val="auto"/>
        <w:rPr>
          <w:rFonts w:hint="eastAsia"/>
          <w:lang w:eastAsia="zh-CN"/>
        </w:rPr>
      </w:pPr>
    </w:p>
    <w:p>
      <w:pPr>
        <w:keepNext w:val="0"/>
        <w:keepLines w:val="0"/>
        <w:pageBreakBefore w:val="0"/>
        <w:kinsoku/>
        <w:wordWrap/>
        <w:overflowPunct/>
        <w:topLinePunct w:val="0"/>
        <w:autoSpaceDE/>
        <w:autoSpaceDN/>
        <w:bidi w:val="0"/>
        <w:adjustRightInd w:val="0"/>
        <w:snapToGrid w:val="0"/>
        <w:spacing w:line="240" w:lineRule="auto"/>
        <w:jc w:val="both"/>
        <w:textAlignment w:val="auto"/>
      </w:pPr>
      <w:r>
        <w:drawing>
          <wp:inline distT="0" distB="0" distL="114300" distR="114300">
            <wp:extent cx="5260340" cy="2898775"/>
            <wp:effectExtent l="0" t="0" r="16510" b="15875"/>
            <wp:docPr id="2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7"/>
                    <pic:cNvPicPr>
                      <a:picLocks noChangeAspect="1"/>
                    </pic:cNvPicPr>
                  </pic:nvPicPr>
                  <pic:blipFill>
                    <a:blip r:embed="rId12"/>
                    <a:stretch>
                      <a:fillRect/>
                    </a:stretch>
                  </pic:blipFill>
                  <pic:spPr>
                    <a:xfrm>
                      <a:off x="0" y="0"/>
                      <a:ext cx="5260340" cy="2898775"/>
                    </a:xfrm>
                    <a:prstGeom prst="rect">
                      <a:avLst/>
                    </a:prstGeom>
                    <a:noFill/>
                    <a:ln>
                      <a:noFill/>
                    </a:ln>
                  </pic:spPr>
                </pic:pic>
              </a:graphicData>
            </a:graphic>
          </wp:inline>
        </w:drawing>
      </w:r>
    </w:p>
    <w:p>
      <w:pPr>
        <w:jc w:val="both"/>
        <w:rPr>
          <w:rFonts w:hint="eastAsia"/>
          <w:lang w:eastAsia="zh-CN"/>
        </w:rPr>
      </w:pPr>
      <w:r>
        <w:rPr>
          <w:rFonts w:hint="eastAsia"/>
          <w:lang w:eastAsia="zh-CN"/>
        </w:rPr>
        <w:br w:type="page"/>
      </w:r>
    </w:p>
    <w:p>
      <w:pPr>
        <w:jc w:val="both"/>
        <w:rPr>
          <w:rFonts w:hint="eastAsia"/>
          <w:lang w:eastAsia="zh-CN"/>
        </w:rPr>
      </w:pPr>
      <w:r>
        <w:drawing>
          <wp:inline distT="0" distB="0" distL="114300" distR="114300">
            <wp:extent cx="5267960" cy="1727200"/>
            <wp:effectExtent l="0" t="0" r="8890" b="6350"/>
            <wp:docPr id="3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pic:cNvPicPr>
                      <a:picLocks noChangeAspect="1"/>
                    </pic:cNvPicPr>
                  </pic:nvPicPr>
                  <pic:blipFill>
                    <a:blip r:embed="rId13"/>
                    <a:stretch>
                      <a:fillRect/>
                    </a:stretch>
                  </pic:blipFill>
                  <pic:spPr>
                    <a:xfrm>
                      <a:off x="0" y="0"/>
                      <a:ext cx="5267960" cy="17272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lang w:eastAsia="zh-CN"/>
        </w:rPr>
      </w:pP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kern w:val="2"/>
          <w:sz w:val="32"/>
          <w:szCs w:val="30"/>
          <w:lang w:val="en-US" w:eastAsia="zh-CN" w:bidi="ar-SA"/>
        </w:rPr>
      </w:pPr>
    </w:p>
    <w:p>
      <w:pPr>
        <w:keepNext w:val="0"/>
        <w:keepLines w:val="0"/>
        <w:pageBreakBefore w:val="0"/>
        <w:kinsoku/>
        <w:wordWrap/>
        <w:overflowPunct/>
        <w:topLinePunct w:val="0"/>
        <w:autoSpaceDE/>
        <w:autoSpaceDN/>
        <w:bidi w:val="0"/>
        <w:spacing w:line="240" w:lineRule="auto"/>
        <w:jc w:val="both"/>
        <w:textAlignment w:val="auto"/>
        <w:rPr>
          <w:rFonts w:hint="eastAsia" w:ascii="仿宋" w:hAnsi="仿宋" w:eastAsia="仿宋" w:cs="仿宋"/>
          <w:kern w:val="2"/>
          <w:sz w:val="32"/>
          <w:szCs w:val="30"/>
          <w:lang w:val="en-US" w:eastAsia="zh-CN" w:bidi="ar-SA"/>
        </w:rPr>
      </w:pPr>
      <w:r>
        <w:drawing>
          <wp:inline distT="0" distB="0" distL="114300" distR="114300">
            <wp:extent cx="5277485" cy="1752600"/>
            <wp:effectExtent l="0" t="0" r="18415" b="0"/>
            <wp:docPr id="3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pic:cNvPicPr>
                      <a:picLocks noChangeAspect="1"/>
                    </pic:cNvPicPr>
                  </pic:nvPicPr>
                  <pic:blipFill>
                    <a:blip r:embed="rId14"/>
                    <a:stretch>
                      <a:fillRect/>
                    </a:stretch>
                  </pic:blipFill>
                  <pic:spPr>
                    <a:xfrm>
                      <a:off x="0" y="0"/>
                      <a:ext cx="5277485" cy="17526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本单位2025年无政府性基金预算支出，故此表无数据。</w:t>
      </w:r>
    </w:p>
    <w:p>
      <w:pPr>
        <w:keepNext w:val="0"/>
        <w:keepLines w:val="0"/>
        <w:pageBreakBefore w:val="0"/>
        <w:kinsoku/>
        <w:wordWrap/>
        <w:overflowPunct/>
        <w:topLinePunct w:val="0"/>
        <w:autoSpaceDE/>
        <w:autoSpaceDN/>
        <w:bidi w:val="0"/>
        <w:spacing w:line="240" w:lineRule="auto"/>
        <w:jc w:val="both"/>
        <w:textAlignment w:val="auto"/>
        <w:rPr>
          <w:rFonts w:hint="eastAsia" w:ascii="仿宋" w:hAnsi="仿宋" w:eastAsia="仿宋" w:cs="仿宋"/>
          <w:color w:val="auto"/>
          <w:kern w:val="2"/>
          <w:sz w:val="32"/>
          <w:szCs w:val="30"/>
          <w:lang w:val="en-US" w:eastAsia="zh-CN" w:bidi="ar-SA"/>
        </w:rPr>
      </w:pPr>
      <w:r>
        <w:drawing>
          <wp:inline distT="0" distB="0" distL="114300" distR="114300">
            <wp:extent cx="5277485" cy="1955800"/>
            <wp:effectExtent l="0" t="0" r="18415" b="6350"/>
            <wp:docPr id="3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
                    <pic:cNvPicPr>
                      <a:picLocks noChangeAspect="1"/>
                    </pic:cNvPicPr>
                  </pic:nvPicPr>
                  <pic:blipFill>
                    <a:blip r:embed="rId15"/>
                    <a:stretch>
                      <a:fillRect/>
                    </a:stretch>
                  </pic:blipFill>
                  <pic:spPr>
                    <a:xfrm>
                      <a:off x="0" y="0"/>
                      <a:ext cx="5277485" cy="19558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本单位2025年无国有资本经营预算支出，故此表无数据。</w:t>
      </w:r>
    </w:p>
    <w:p>
      <w:pPr>
        <w:keepNext w:val="0"/>
        <w:keepLines w:val="0"/>
        <w:pageBreakBefore w:val="0"/>
        <w:kinsoku/>
        <w:wordWrap/>
        <w:overflowPunct/>
        <w:topLinePunct w:val="0"/>
        <w:autoSpaceDE/>
        <w:autoSpaceDN/>
        <w:bidi w:val="0"/>
        <w:spacing w:line="240" w:lineRule="auto"/>
        <w:ind w:firstLine="420" w:firstLineChars="200"/>
        <w:jc w:val="left"/>
        <w:textAlignment w:val="auto"/>
      </w:pPr>
      <w:r>
        <w:drawing>
          <wp:inline distT="0" distB="0" distL="114300" distR="114300">
            <wp:extent cx="5274310" cy="4651375"/>
            <wp:effectExtent l="0" t="0" r="2540" b="15875"/>
            <wp:docPr id="3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1"/>
                    <pic:cNvPicPr>
                      <a:picLocks noChangeAspect="1"/>
                    </pic:cNvPicPr>
                  </pic:nvPicPr>
                  <pic:blipFill>
                    <a:blip r:embed="rId16"/>
                    <a:stretch>
                      <a:fillRect/>
                    </a:stretch>
                  </pic:blipFill>
                  <pic:spPr>
                    <a:xfrm>
                      <a:off x="0" y="0"/>
                      <a:ext cx="5274310" cy="4651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spacing w:line="240" w:lineRule="auto"/>
        <w:ind w:firstLine="420" w:firstLineChars="200"/>
        <w:jc w:val="left"/>
        <w:textAlignment w:val="auto"/>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lang w:eastAsia="zh-CN"/>
        </w:rPr>
        <w:t>赣州市南康区龙回镇三益片中心小学</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年部门预算情况说明</w:t>
      </w:r>
    </w:p>
    <w:p>
      <w:pPr>
        <w:keepNext w:val="0"/>
        <w:keepLines w:val="0"/>
        <w:pageBreakBefore w:val="0"/>
        <w:widowControl/>
        <w:kinsoku/>
        <w:wordWrap/>
        <w:overflowPunct/>
        <w:topLinePunct w:val="0"/>
        <w:autoSpaceDE/>
        <w:autoSpaceDN/>
        <w:bidi w:val="0"/>
        <w:spacing w:line="240" w:lineRule="auto"/>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年部门预算收支情况说明</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_GB2312" w:hAnsi="仿宋_GB2312" w:eastAsia="仿宋_GB2312"/>
          <w:sz w:val="32"/>
          <w:szCs w:val="32"/>
          <w:lang w:val="en-US" w:eastAsia="zh-CN"/>
        </w:rPr>
        <w:t>龙回镇三益片中心小学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1025.39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增加了130.13</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教师编制数增加，其他收入增加</w:t>
      </w:r>
      <w:r>
        <w:rPr>
          <w:rFonts w:hint="eastAsia" w:ascii="仿宋" w:hAnsi="仿宋" w:eastAsia="仿宋" w:cs="仿宋"/>
          <w:kern w:val="2"/>
          <w:sz w:val="32"/>
          <w:szCs w:val="30"/>
          <w:lang w:eastAsia="zh-CN"/>
        </w:rPr>
        <w:t>。其中：财政拨款收入614.59万元，较上年预算安排</w:t>
      </w:r>
      <w:r>
        <w:rPr>
          <w:rFonts w:hint="eastAsia" w:ascii="仿宋" w:hAnsi="仿宋" w:eastAsia="仿宋" w:cs="仿宋"/>
          <w:kern w:val="2"/>
          <w:sz w:val="32"/>
          <w:szCs w:val="30"/>
          <w:lang w:val="en-US" w:eastAsia="zh-CN"/>
        </w:rPr>
        <w:t>增加89.33</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val="en-US" w:eastAsia="zh-CN"/>
        </w:rPr>
        <w:t>其他收入410万元</w:t>
      </w:r>
      <w:r>
        <w:rPr>
          <w:rFonts w:hint="eastAsia" w:ascii="仿宋" w:hAnsi="仿宋" w:eastAsia="仿宋" w:cs="仿宋"/>
          <w:kern w:val="2"/>
          <w:sz w:val="32"/>
          <w:szCs w:val="30"/>
          <w:lang w:eastAsia="zh-CN"/>
        </w:rPr>
        <w:t>，较上年预算安排增加</w:t>
      </w:r>
      <w:r>
        <w:rPr>
          <w:rFonts w:hint="eastAsia" w:ascii="仿宋" w:hAnsi="仿宋" w:eastAsia="仿宋" w:cs="仿宋"/>
          <w:kern w:val="2"/>
          <w:sz w:val="32"/>
          <w:szCs w:val="30"/>
          <w:lang w:val="en-US" w:eastAsia="zh-CN"/>
        </w:rPr>
        <w:t>51.22</w:t>
      </w:r>
      <w:r>
        <w:rPr>
          <w:rFonts w:hint="eastAsia" w:ascii="仿宋" w:hAnsi="仿宋" w:eastAsia="仿宋" w:cs="仿宋"/>
          <w:kern w:val="2"/>
          <w:sz w:val="32"/>
          <w:szCs w:val="30"/>
          <w:lang w:eastAsia="zh-CN"/>
        </w:rPr>
        <w:t>万元，国库集中支付</w:t>
      </w:r>
      <w:r>
        <w:rPr>
          <w:rFonts w:hint="eastAsia" w:ascii="仿宋" w:hAnsi="仿宋" w:eastAsia="仿宋" w:cs="仿宋"/>
          <w:color w:val="auto"/>
          <w:kern w:val="2"/>
          <w:sz w:val="32"/>
          <w:szCs w:val="30"/>
          <w:lang w:eastAsia="zh-CN"/>
        </w:rPr>
        <w:t>网上结转</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r>
        <w:rPr>
          <w:rFonts w:hint="eastAsia" w:ascii="仿宋" w:hAnsi="仿宋" w:eastAsia="仿宋" w:cs="仿宋"/>
          <w:kern w:val="2"/>
          <w:sz w:val="32"/>
          <w:szCs w:val="30"/>
          <w:lang w:eastAsia="zh-CN"/>
        </w:rPr>
        <w:t>。</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2025年赣州市南康区龙回镇三益片中心小学支出预算总额为支出预算总额为</w:t>
      </w:r>
      <w:r>
        <w:rPr>
          <w:rFonts w:hint="eastAsia" w:ascii="仿宋" w:hAnsi="仿宋" w:eastAsia="仿宋" w:cs="仿宋"/>
          <w:kern w:val="2"/>
          <w:sz w:val="32"/>
          <w:szCs w:val="30"/>
          <w:lang w:val="en-US" w:eastAsia="zh-CN"/>
        </w:rPr>
        <w:t>1025.39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增加了130.13</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教师编制数增加，其他支出增加，</w:t>
      </w:r>
      <w:r>
        <w:rPr>
          <w:rFonts w:hint="eastAsia" w:ascii="仿宋" w:hAnsi="仿宋" w:eastAsia="仿宋" w:cs="仿宋"/>
          <w:kern w:val="2"/>
          <w:sz w:val="32"/>
          <w:szCs w:val="30"/>
          <w:lang w:eastAsia="zh-CN"/>
        </w:rPr>
        <w:t>其中：</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614.49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增加了89.76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613.79</w:t>
      </w:r>
      <w:r>
        <w:rPr>
          <w:rFonts w:hint="eastAsia" w:ascii="仿宋" w:hAnsi="仿宋" w:eastAsia="仿宋" w:cs="仿宋"/>
          <w:kern w:val="2"/>
          <w:sz w:val="32"/>
          <w:szCs w:val="30"/>
          <w:lang w:eastAsia="zh-CN"/>
        </w:rPr>
        <w:t>万元</w:t>
      </w:r>
      <w:r>
        <w:rPr>
          <w:rFonts w:hint="eastAsia" w:ascii="仿宋" w:hAnsi="仿宋" w:eastAsia="仿宋" w:cs="仿宋"/>
          <w:color w:val="auto"/>
          <w:kern w:val="2"/>
          <w:sz w:val="32"/>
          <w:szCs w:val="30"/>
          <w:lang w:eastAsia="zh-CN"/>
        </w:rPr>
        <w:t>，商品和服务支出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0.7</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万元。项目支出</w:t>
      </w:r>
      <w:r>
        <w:rPr>
          <w:rFonts w:hint="eastAsia" w:ascii="仿宋" w:hAnsi="仿宋" w:eastAsia="仿宋" w:cs="仿宋"/>
          <w:color w:val="auto"/>
          <w:kern w:val="2"/>
          <w:sz w:val="32"/>
          <w:szCs w:val="30"/>
          <w:lang w:val="en-US" w:eastAsia="zh-CN"/>
        </w:rPr>
        <w:t>410.1</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增加39.58</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万元，对企业补助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按支出功能科目划分：一般公共服务支出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万元;教育支出</w:t>
      </w:r>
      <w:r>
        <w:rPr>
          <w:rFonts w:hint="eastAsia" w:ascii="仿宋" w:hAnsi="仿宋" w:eastAsia="仿宋" w:cs="仿宋"/>
          <w:color w:val="auto"/>
          <w:kern w:val="2"/>
          <w:sz w:val="32"/>
          <w:szCs w:val="30"/>
          <w:lang w:val="en-US" w:eastAsia="zh-CN"/>
        </w:rPr>
        <w:t>614.59</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增加89.33</w:t>
      </w:r>
      <w:r>
        <w:rPr>
          <w:rFonts w:hint="eastAsia" w:ascii="仿宋" w:hAnsi="仿宋" w:eastAsia="仿宋" w:cs="仿宋"/>
          <w:color w:val="auto"/>
          <w:kern w:val="2"/>
          <w:sz w:val="32"/>
          <w:szCs w:val="30"/>
          <w:lang w:eastAsia="zh-CN"/>
        </w:rPr>
        <w:t>万元;科学技术支出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万元;社会保障和就业支出</w:t>
      </w:r>
      <w:r>
        <w:rPr>
          <w:rFonts w:hint="eastAsia" w:ascii="仿宋" w:hAnsi="仿宋" w:eastAsia="仿宋" w:cs="仿宋"/>
          <w:color w:val="auto"/>
          <w:kern w:val="2"/>
          <w:sz w:val="32"/>
          <w:szCs w:val="30"/>
          <w:lang w:val="en-US" w:eastAsia="zh-CN"/>
        </w:rPr>
        <w:t>69.17</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增加1.71</w:t>
      </w:r>
      <w:r>
        <w:rPr>
          <w:rFonts w:hint="eastAsia" w:ascii="仿宋" w:hAnsi="仿宋" w:eastAsia="仿宋" w:cs="仿宋"/>
          <w:color w:val="auto"/>
          <w:kern w:val="2"/>
          <w:sz w:val="32"/>
          <w:szCs w:val="30"/>
          <w:lang w:eastAsia="zh-CN"/>
        </w:rPr>
        <w:t>万元;卫生健康支出</w:t>
      </w:r>
      <w:r>
        <w:rPr>
          <w:rFonts w:hint="eastAsia" w:ascii="仿宋" w:hAnsi="仿宋" w:eastAsia="仿宋" w:cs="仿宋"/>
          <w:color w:val="auto"/>
          <w:kern w:val="2"/>
          <w:sz w:val="32"/>
          <w:szCs w:val="30"/>
          <w:lang w:val="en-US" w:eastAsia="zh-CN"/>
        </w:rPr>
        <w:t>28.29</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增加0.74</w:t>
      </w:r>
      <w:r>
        <w:rPr>
          <w:rFonts w:hint="eastAsia" w:ascii="仿宋" w:hAnsi="仿宋" w:eastAsia="仿宋" w:cs="仿宋"/>
          <w:color w:val="auto"/>
          <w:kern w:val="2"/>
          <w:sz w:val="32"/>
          <w:szCs w:val="30"/>
          <w:lang w:eastAsia="zh-CN"/>
        </w:rPr>
        <w:t>万元;农林水支出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万元;住房保障支出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按支出经济分类划分：工资福利支出</w:t>
      </w:r>
      <w:r>
        <w:rPr>
          <w:rFonts w:hint="eastAsia" w:ascii="仿宋" w:hAnsi="仿宋" w:eastAsia="仿宋" w:cs="仿宋"/>
          <w:color w:val="auto"/>
          <w:kern w:val="2"/>
          <w:sz w:val="32"/>
          <w:szCs w:val="30"/>
          <w:lang w:val="en-US" w:eastAsia="zh-CN"/>
        </w:rPr>
        <w:t>613.79</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增加89.78</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0.70</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减少0.02</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万元;对企业补助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2025年赣州市南康区龙回镇三益片中心小学财政拨款支出预算总额为财政拨款支出预算总额</w:t>
      </w:r>
      <w:r>
        <w:rPr>
          <w:rFonts w:hint="eastAsia" w:ascii="仿宋" w:hAnsi="仿宋" w:eastAsia="仿宋" w:cs="仿宋"/>
          <w:kern w:val="2"/>
          <w:sz w:val="32"/>
          <w:szCs w:val="30"/>
          <w:lang w:val="en-US" w:eastAsia="zh-CN"/>
        </w:rPr>
        <w:t>614.59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增加89.33</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教师编制数增加</w:t>
      </w:r>
      <w:r>
        <w:rPr>
          <w:rFonts w:hint="eastAsia" w:ascii="仿宋" w:hAnsi="仿宋" w:eastAsia="仿宋" w:cs="仿宋"/>
          <w:kern w:val="2"/>
          <w:sz w:val="32"/>
          <w:szCs w:val="30"/>
          <w:lang w:eastAsia="zh-CN"/>
        </w:rPr>
        <w:t>。</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614.59</w:t>
      </w:r>
      <w:r>
        <w:rPr>
          <w:rFonts w:hint="eastAsia" w:ascii="仿宋" w:hAnsi="仿宋" w:eastAsia="仿宋" w:cs="仿宋"/>
          <w:color w:val="auto"/>
          <w:kern w:val="2"/>
          <w:sz w:val="32"/>
          <w:szCs w:val="30"/>
          <w:lang w:eastAsia="zh-CN"/>
        </w:rPr>
        <w:t>万元，社会保障和就业支出</w:t>
      </w:r>
      <w:r>
        <w:rPr>
          <w:rFonts w:hint="eastAsia" w:ascii="仿宋" w:hAnsi="仿宋" w:eastAsia="仿宋" w:cs="仿宋"/>
          <w:color w:val="auto"/>
          <w:kern w:val="2"/>
          <w:sz w:val="32"/>
          <w:szCs w:val="30"/>
          <w:lang w:val="en-US" w:eastAsia="zh-CN"/>
        </w:rPr>
        <w:t>69.17</w:t>
      </w:r>
      <w:r>
        <w:rPr>
          <w:rFonts w:hint="eastAsia" w:ascii="仿宋" w:hAnsi="仿宋" w:eastAsia="仿宋" w:cs="仿宋"/>
          <w:color w:val="auto"/>
          <w:kern w:val="2"/>
          <w:sz w:val="32"/>
          <w:szCs w:val="30"/>
          <w:lang w:eastAsia="zh-CN"/>
        </w:rPr>
        <w:t>万元，卫生健康支出</w:t>
      </w:r>
      <w:r>
        <w:rPr>
          <w:rFonts w:hint="eastAsia" w:ascii="仿宋" w:hAnsi="仿宋" w:eastAsia="仿宋" w:cs="仿宋"/>
          <w:color w:val="auto"/>
          <w:kern w:val="2"/>
          <w:sz w:val="32"/>
          <w:szCs w:val="30"/>
          <w:lang w:val="en-US" w:eastAsia="zh-CN"/>
        </w:rPr>
        <w:t>28.29</w:t>
      </w:r>
      <w:r>
        <w:rPr>
          <w:rFonts w:hint="eastAsia" w:ascii="仿宋" w:hAnsi="仿宋" w:eastAsia="仿宋" w:cs="仿宋"/>
          <w:color w:val="auto"/>
          <w:kern w:val="2"/>
          <w:sz w:val="32"/>
          <w:szCs w:val="30"/>
          <w:lang w:eastAsia="zh-CN"/>
        </w:rPr>
        <w:t>万元，住房保障支出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614.49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增加89.33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613.79</w:t>
      </w:r>
      <w:r>
        <w:rPr>
          <w:rFonts w:hint="eastAsia" w:ascii="仿宋" w:hAnsi="仿宋" w:eastAsia="仿宋" w:cs="仿宋"/>
          <w:kern w:val="2"/>
          <w:sz w:val="32"/>
          <w:szCs w:val="30"/>
          <w:lang w:eastAsia="zh-CN"/>
        </w:rPr>
        <w:t>万元</w:t>
      </w:r>
      <w:r>
        <w:rPr>
          <w:rFonts w:hint="eastAsia" w:ascii="仿宋" w:hAnsi="仿宋" w:eastAsia="仿宋" w:cs="仿宋"/>
          <w:color w:val="auto"/>
          <w:kern w:val="2"/>
          <w:sz w:val="32"/>
          <w:szCs w:val="30"/>
          <w:lang w:eastAsia="zh-CN"/>
        </w:rPr>
        <w:t>，商品和服务支出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0.70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万元。项目支出</w:t>
      </w:r>
      <w:r>
        <w:rPr>
          <w:rFonts w:hint="eastAsia" w:ascii="仿宋" w:hAnsi="仿宋" w:eastAsia="仿宋" w:cs="仿宋"/>
          <w:color w:val="auto"/>
          <w:kern w:val="2"/>
          <w:sz w:val="32"/>
          <w:szCs w:val="30"/>
          <w:lang w:val="en-US" w:eastAsia="zh-CN"/>
        </w:rPr>
        <w:t>410.1</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增加39.58</w:t>
      </w:r>
      <w:r>
        <w:rPr>
          <w:rFonts w:hint="eastAsia" w:ascii="仿宋" w:hAnsi="仿宋" w:eastAsia="仿宋" w:cs="仿宋"/>
          <w:color w:val="auto"/>
          <w:kern w:val="2"/>
          <w:sz w:val="32"/>
          <w:szCs w:val="30"/>
          <w:lang w:eastAsia="zh-CN"/>
        </w:rPr>
        <w:t>万元，其中：商品和服务支出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2025年赣州市南康区龙回镇三益片中心小学</w:t>
      </w:r>
      <w:r>
        <w:rPr>
          <w:rFonts w:hint="eastAsia" w:ascii="仿宋" w:hAnsi="仿宋" w:eastAsia="仿宋" w:cs="仿宋"/>
          <w:color w:val="auto"/>
          <w:kern w:val="2"/>
          <w:sz w:val="32"/>
          <w:szCs w:val="30"/>
          <w:lang w:eastAsia="zh-CN"/>
        </w:rPr>
        <w:t>没有使用政府性基金预算拨款安排的支出。</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rPr>
        <w:t>（五）国有资本经营情况</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2025年赣州市南康区龙回镇三益片中心小学</w:t>
      </w:r>
      <w:r>
        <w:rPr>
          <w:rFonts w:hint="eastAsia" w:ascii="仿宋" w:hAnsi="仿宋" w:eastAsia="仿宋" w:cs="仿宋"/>
          <w:color w:val="auto"/>
          <w:kern w:val="2"/>
          <w:sz w:val="32"/>
          <w:szCs w:val="30"/>
          <w:lang w:eastAsia="zh-CN"/>
        </w:rPr>
        <w:t>没有使用国有资本经营预算拨款安排的支出。</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2025年赣州市南康区龙回镇三益片中心小学</w:t>
      </w:r>
      <w:r>
        <w:rPr>
          <w:rFonts w:hint="eastAsia" w:ascii="仿宋" w:hAnsi="仿宋" w:eastAsia="仿宋" w:cs="仿宋"/>
          <w:color w:val="auto"/>
          <w:kern w:val="2"/>
          <w:sz w:val="32"/>
          <w:szCs w:val="30"/>
          <w:lang w:eastAsia="zh-CN"/>
        </w:rPr>
        <w:t>没有机关运行费。</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七</w:t>
      </w: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政府采购情况</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2025年赣州市南康区龙回镇三益片中心小学政府采购总额</w:t>
      </w:r>
      <w:r>
        <w:rPr>
          <w:rFonts w:hint="eastAsia" w:ascii="仿宋" w:hAnsi="仿宋" w:eastAsia="仿宋" w:cs="仿宋"/>
          <w:kern w:val="2"/>
          <w:sz w:val="32"/>
          <w:szCs w:val="30"/>
          <w:lang w:val="en-US" w:eastAsia="zh-CN"/>
        </w:rPr>
        <w:t>20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12</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val="en-US" w:eastAsia="zh-CN" w:bidi="ar-SA"/>
        </w:rPr>
        <w:t>万元。</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2025年未安排购置单位价值200万元以上大型设备。</w:t>
      </w:r>
    </w:p>
    <w:p>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color w:val="auto"/>
          <w:sz w:val="32"/>
          <w:szCs w:val="32"/>
          <w:lang w:eastAsia="zh-CN"/>
        </w:rPr>
      </w:pPr>
      <w:r>
        <w:rPr>
          <w:rStyle w:val="7"/>
          <w:rFonts w:hint="eastAsia" w:ascii="楷体" w:hAnsi="楷体" w:eastAsia="楷体" w:cs="楷体"/>
          <w:b/>
          <w:color w:val="auto"/>
          <w:sz w:val="32"/>
          <w:szCs w:val="32"/>
          <w:lang w:eastAsia="zh-CN"/>
        </w:rPr>
        <w:t>（九）</w:t>
      </w:r>
      <w:r>
        <w:rPr>
          <w:rStyle w:val="7"/>
          <w:rFonts w:hint="eastAsia" w:ascii="楷体" w:hAnsi="楷体" w:eastAsia="楷体" w:cs="楷体"/>
          <w:b/>
          <w:color w:val="auto"/>
          <w:sz w:val="32"/>
          <w:szCs w:val="32"/>
          <w:lang w:val="en-US" w:eastAsia="zh-CN"/>
        </w:rPr>
        <w:t>课后服务项目</w:t>
      </w:r>
      <w:r>
        <w:rPr>
          <w:rStyle w:val="7"/>
          <w:rFonts w:hint="eastAsia" w:ascii="楷体" w:hAnsi="楷体" w:eastAsia="楷体" w:cs="楷体"/>
          <w:b/>
          <w:color w:val="auto"/>
          <w:sz w:val="32"/>
          <w:szCs w:val="32"/>
          <w:lang w:eastAsia="zh-CN"/>
        </w:rPr>
        <w:t>项目情况说明</w:t>
      </w:r>
    </w:p>
    <w:p>
      <w:pPr>
        <w:keepNext w:val="0"/>
        <w:keepLines w:val="0"/>
        <w:pageBreakBefore w:val="0"/>
        <w:kinsoku/>
        <w:wordWrap/>
        <w:overflowPunct/>
        <w:topLinePunct w:val="0"/>
        <w:autoSpaceDE/>
        <w:autoSpaceDN/>
        <w:bidi w:val="0"/>
        <w:spacing w:line="240" w:lineRule="auto"/>
        <w:ind w:right="449" w:rightChars="214"/>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1.三益中心小学2025年春季课后服务项目</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（1）项目概述</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default" w:ascii="仿宋_GB2312" w:hAnsi="仿宋_GB2312" w:eastAsia="仿宋_GB2312"/>
          <w:sz w:val="32"/>
          <w:szCs w:val="32"/>
          <w:lang w:val="en-US" w:eastAsia="zh-CN"/>
        </w:rPr>
        <w:t>满足新时代中小学生和家长对课后服务的迫切需求，帮助家长解决实际困难，增强教育公共服务能力</w:t>
      </w:r>
      <w:r>
        <w:rPr>
          <w:rFonts w:hint="eastAsia" w:ascii="仿宋_GB2312" w:hAnsi="仿宋_GB2312" w:eastAsia="仿宋_GB2312"/>
          <w:sz w:val="32"/>
          <w:szCs w:val="32"/>
          <w:lang w:val="en-US" w:eastAsia="zh-CN"/>
        </w:rPr>
        <w:t>。</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（2）立项依据</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default" w:ascii="仿宋_GB2312" w:hAnsi="仿宋_GB2312" w:eastAsia="仿宋_GB2312"/>
          <w:sz w:val="32"/>
          <w:szCs w:val="32"/>
          <w:lang w:val="en-US" w:eastAsia="zh-CN"/>
        </w:rPr>
      </w:pPr>
      <w:r>
        <w:rPr>
          <w:rFonts w:hint="default" w:ascii="仿宋_GB2312" w:hAnsi="仿宋_GB2312" w:eastAsia="仿宋_GB2312"/>
          <w:sz w:val="32"/>
          <w:szCs w:val="32"/>
          <w:lang w:val="en-US" w:eastAsia="zh-CN"/>
        </w:rPr>
        <w:t>《关于做好中小学生课后服务工作的指导意见》(教基一厅〔2017〕2号)</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default" w:ascii="仿宋_GB2312" w:hAnsi="仿宋_GB2312" w:eastAsia="仿宋_GB2312"/>
          <w:sz w:val="32"/>
          <w:szCs w:val="32"/>
          <w:lang w:val="en-US" w:eastAsia="zh-CN"/>
        </w:rPr>
      </w:pPr>
      <w:r>
        <w:rPr>
          <w:rFonts w:hint="default" w:ascii="仿宋_GB2312" w:hAnsi="仿宋_GB2312" w:eastAsia="仿宋_GB2312"/>
          <w:sz w:val="32"/>
          <w:szCs w:val="32"/>
          <w:lang w:val="en-US" w:eastAsia="zh-CN"/>
        </w:rPr>
        <w:t>《关于做好全省中小学生课后服务工作的指导意见》(赣教发〔2019〕10号)</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default" w:ascii="仿宋_GB2312" w:hAnsi="仿宋_GB2312" w:eastAsia="仿宋_GB2312"/>
          <w:sz w:val="32"/>
          <w:szCs w:val="32"/>
          <w:lang w:val="en-US" w:eastAsia="zh-CN"/>
        </w:rPr>
      </w:pPr>
      <w:r>
        <w:rPr>
          <w:rFonts w:hint="default" w:ascii="仿宋_GB2312" w:hAnsi="仿宋_GB2312" w:eastAsia="仿宋_GB2312"/>
          <w:sz w:val="32"/>
          <w:szCs w:val="32"/>
          <w:lang w:val="en-US" w:eastAsia="zh-CN"/>
        </w:rPr>
        <w:t>《转发省教育厅等四部门&lt;关于做好全省中小学生课后服务工作的指导意见&gt;的通知》(赣市教基字〔2019〕57号)</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default" w:ascii="仿宋_GB2312" w:hAnsi="仿宋_GB2312" w:eastAsia="仿宋_GB2312"/>
          <w:sz w:val="32"/>
          <w:szCs w:val="32"/>
          <w:lang w:val="en-US" w:eastAsia="zh-CN"/>
        </w:rPr>
      </w:pPr>
      <w:r>
        <w:rPr>
          <w:rFonts w:hint="default" w:ascii="仿宋_GB2312" w:hAnsi="仿宋_GB2312" w:eastAsia="仿宋_GB2312"/>
          <w:sz w:val="32"/>
          <w:szCs w:val="32"/>
          <w:lang w:val="en-US" w:eastAsia="zh-CN"/>
        </w:rPr>
        <w:t>康府办抄字〔2021〕25号</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default" w:ascii="仿宋_GB2312" w:hAnsi="仿宋_GB2312" w:eastAsia="仿宋_GB2312"/>
          <w:sz w:val="32"/>
          <w:szCs w:val="32"/>
          <w:lang w:val="en-US" w:eastAsia="zh-CN"/>
        </w:rPr>
      </w:pPr>
      <w:r>
        <w:rPr>
          <w:rFonts w:hint="default" w:ascii="仿宋_GB2312" w:hAnsi="仿宋_GB2312" w:eastAsia="仿宋_GB2312"/>
          <w:sz w:val="32"/>
          <w:szCs w:val="32"/>
          <w:lang w:val="en-US" w:eastAsia="zh-CN"/>
        </w:rPr>
        <w:t>《关于印发&lt;赣州市南康区中小学生课后服务工作实施方案（试行）&gt;的通知》（康教科体字〔2021〕23号）</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（3）实施主体</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全体在校学生。</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（4）实施方案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2025年春季</w:t>
      </w:r>
      <w:r>
        <w:rPr>
          <w:rFonts w:hint="eastAsia" w:ascii="仿宋_GB2312" w:hAnsi="仿宋_GB2312" w:eastAsia="仿宋_GB2312" w:cs="仿宋_GB2312"/>
          <w:sz w:val="32"/>
          <w:szCs w:val="32"/>
        </w:rPr>
        <w:t>赣州市南康区</w:t>
      </w:r>
      <w:r>
        <w:rPr>
          <w:rFonts w:hint="eastAsia" w:ascii="仿宋_GB2312" w:hAnsi="仿宋_GB2312" w:eastAsia="仿宋_GB2312" w:cs="仿宋_GB2312"/>
          <w:sz w:val="32"/>
          <w:szCs w:val="32"/>
          <w:lang w:val="en-US" w:eastAsia="zh-CN"/>
        </w:rPr>
        <w:t>龙回镇</w:t>
      </w:r>
      <w:r>
        <w:rPr>
          <w:rFonts w:hint="eastAsia" w:ascii="仿宋_GB2312" w:hAnsi="仿宋_GB2312" w:eastAsia="仿宋_GB2312" w:cs="仿宋_GB2312"/>
          <w:sz w:val="32"/>
          <w:szCs w:val="32"/>
          <w:lang w:eastAsia="zh-CN"/>
        </w:rPr>
        <w:t>三益</w:t>
      </w:r>
      <w:r>
        <w:rPr>
          <w:rFonts w:hint="eastAsia" w:ascii="仿宋_GB2312" w:hAnsi="仿宋_GB2312" w:eastAsia="仿宋_GB2312" w:cs="仿宋_GB2312"/>
          <w:sz w:val="32"/>
          <w:szCs w:val="32"/>
          <w:lang w:val="en-US" w:eastAsia="zh-CN"/>
        </w:rPr>
        <w:t>片</w:t>
      </w:r>
      <w:r>
        <w:rPr>
          <w:rFonts w:hint="eastAsia" w:ascii="仿宋_GB2312" w:hAnsi="仿宋_GB2312" w:eastAsia="仿宋_GB2312" w:cs="仿宋_GB2312"/>
          <w:sz w:val="32"/>
          <w:szCs w:val="32"/>
          <w:lang w:eastAsia="zh-CN"/>
        </w:rPr>
        <w:t>中心小学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课后服务方案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十九大精神，牢固树立以人民为中心的新发展理念，充分利用中小学校在管理、人员、场地、资源等方面的优势，发展素质教育，促进学生全面发展;同时针对家长接送子女上下学难、学生参加校外培训课业负担过重、家长经济负担过重等问题，发挥好中小学校在课后服务中的主渠道作用，开展有利于学生健康成长的便民服务，办好人民满意教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Cs/>
          <w:sz w:val="32"/>
          <w:szCs w:val="32"/>
          <w:lang w:val="en-US"/>
        </w:rPr>
      </w:pPr>
      <w:r>
        <w:rPr>
          <w:rFonts w:hint="eastAsia" w:ascii="黑体" w:hAnsi="黑体" w:eastAsia="黑体" w:cs="黑体"/>
          <w:bCs/>
          <w:kern w:val="2"/>
          <w:sz w:val="32"/>
          <w:szCs w:val="32"/>
          <w:lang w:val="en-US" w:eastAsia="zh-CN" w:bidi="ar"/>
        </w:rPr>
        <w:t>二、组织领导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Cs/>
          <w:sz w:val="32"/>
          <w:szCs w:val="32"/>
          <w:lang w:val="en-US"/>
        </w:rPr>
      </w:pPr>
      <w:r>
        <w:rPr>
          <w:rFonts w:hint="eastAsia" w:ascii="仿宋_GB2312" w:hAnsi="仿宋_GB2312" w:eastAsia="仿宋_GB2312" w:cs="仿宋_GB2312"/>
          <w:bCs/>
          <w:kern w:val="2"/>
          <w:sz w:val="32"/>
          <w:szCs w:val="32"/>
          <w:lang w:val="en-US" w:eastAsia="zh-CN" w:bidi="ar"/>
        </w:rPr>
        <w:t>成立三益中心小学课后服务考核工作领导小组，负责对课后服务的考核及服务费用的分配、发放、解释等方面的工作，确保课后服务经费公平、公正地发放。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Cs/>
          <w:kern w:val="2"/>
          <w:sz w:val="32"/>
          <w:szCs w:val="32"/>
          <w:lang w:val="en-US" w:eastAsia="zh-CN" w:bidi="ar"/>
        </w:rPr>
        <w:t>组  长：许兰波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Cs/>
          <w:kern w:val="2"/>
          <w:sz w:val="32"/>
          <w:szCs w:val="32"/>
          <w:lang w:val="en-US" w:eastAsia="zh-CN" w:bidi="ar"/>
        </w:rPr>
        <w:t>副组长：曹勇、熊健纲、洪丽娟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Cs/>
          <w:kern w:val="2"/>
          <w:sz w:val="32"/>
          <w:szCs w:val="32"/>
          <w:lang w:val="en-US" w:eastAsia="zh-CN" w:bidi="ar"/>
        </w:rPr>
        <w:t>成  员：曾劭清、蒙旭丹、胡婧、曾睿、邓莉莉、罗发财、廖子昱、苏奖龙、罗永鸿、林金福、黄芸芸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三、考核对象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Cs/>
          <w:kern w:val="2"/>
          <w:sz w:val="32"/>
          <w:szCs w:val="32"/>
          <w:lang w:val="en-US" w:eastAsia="zh-CN" w:bidi="ar"/>
        </w:rPr>
        <w:t>三益中心小学参与课后服务</w:t>
      </w:r>
      <w:r>
        <w:rPr>
          <w:rFonts w:hint="eastAsia" w:ascii="仿宋_GB2312" w:hAnsi="仿宋_GB2312" w:eastAsia="仿宋_GB2312" w:cs="仿宋_GB2312"/>
          <w:bCs/>
          <w:color w:val="auto"/>
          <w:kern w:val="2"/>
          <w:sz w:val="32"/>
          <w:szCs w:val="32"/>
          <w:lang w:val="en-US" w:eastAsia="zh-CN" w:bidi="ar"/>
        </w:rPr>
        <w:t>及相关工作</w:t>
      </w:r>
      <w:r>
        <w:rPr>
          <w:rFonts w:hint="eastAsia" w:ascii="仿宋_GB2312" w:hAnsi="仿宋_GB2312" w:eastAsia="仿宋_GB2312" w:cs="仿宋_GB2312"/>
          <w:bCs/>
          <w:kern w:val="2"/>
          <w:sz w:val="32"/>
          <w:szCs w:val="32"/>
          <w:lang w:val="en-US" w:eastAsia="zh-CN" w:bidi="ar"/>
        </w:rPr>
        <w:t>的全体教职工</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四、考核时间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（1）周一至周五下午放学后（2课时）。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（2）本学期从2月14日开始实行。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五、考核分配原则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1.坚持“多劳多得、优绩优酬、不劳不得”的原则，与课后服务岗位、任务、业绩、责任坚密结合，重点考核教职工课后服务表现与工作业绩。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2.实行动态管理原则。课后服务以工作绩效考核结果作为分配的主要依据，实行动态管理，按期考核，实行每期发放。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3.公开、公平、公正原则。课后服务管理考核方案充分征求广大教师的意见，做到统筹兼顾，接受广大教职工的监督。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六、劳酬</w:t>
      </w:r>
      <w:r>
        <w:rPr>
          <w:rFonts w:hint="eastAsia" w:ascii="黑体" w:hAnsi="黑体" w:eastAsia="黑体" w:cs="黑体"/>
          <w:bCs/>
          <w:kern w:val="2"/>
          <w:sz w:val="32"/>
          <w:szCs w:val="32"/>
          <w:lang w:val="en-US" w:eastAsia="zh-CN" w:bidi="ar"/>
        </w:rPr>
        <w:t>发放</w:t>
      </w:r>
      <w:r>
        <w:rPr>
          <w:rFonts w:hint="eastAsia" w:ascii="黑体" w:hAnsi="黑体" w:eastAsia="黑体" w:cs="黑体"/>
          <w:color w:val="000000"/>
          <w:sz w:val="32"/>
          <w:szCs w:val="32"/>
          <w:lang w:val="en-US" w:eastAsia="zh-CN"/>
        </w:rPr>
        <w:t>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（一）发放项目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1、课后服务管理考核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以课时量为标准，</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按75元/课时的标准</w:t>
      </w:r>
      <w:r>
        <w:rPr>
          <w:rFonts w:hint="eastAsia" w:ascii="仿宋_GB2312" w:hAnsi="仿宋_GB2312" w:eastAsia="仿宋_GB2312" w:cs="仿宋_GB2312"/>
          <w:color w:val="000000"/>
          <w:sz w:val="32"/>
          <w:szCs w:val="32"/>
        </w:rPr>
        <w:t>发放劳动报酬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校级领导在课后服务工作中负责组织管理、服务保障、巡课监督等补助按全校任课教师的平均课时数计算；其它参与课后服务其他工作的行政人员参照全校任课教师的平均课时数折算。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2、值日管理考核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值日按照考核等级A等40元</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color w:val="000000"/>
          <w:sz w:val="32"/>
          <w:szCs w:val="32"/>
          <w:lang w:val="en-US" w:eastAsia="zh-CN"/>
        </w:rPr>
        <w:t>，B等30元</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color w:val="000000"/>
          <w:sz w:val="32"/>
          <w:szCs w:val="32"/>
          <w:lang w:val="en-US" w:eastAsia="zh-CN"/>
        </w:rPr>
        <w:t>，C等20元</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color w:val="000000"/>
          <w:sz w:val="32"/>
          <w:szCs w:val="32"/>
          <w:lang w:val="en-US" w:eastAsia="zh-CN"/>
        </w:rPr>
        <w:t>核算。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3、考勤考核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按照《三益中心小学考勤制度》执行，迟到扣10元/次，早退扣20元/次，旷课扣75元/节。</w:t>
      </w:r>
    </w:p>
    <w:p>
      <w:pPr>
        <w:keepNext w:val="0"/>
        <w:keepLines w:val="0"/>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本方案未尽事宜由三益中心小学课后服务考核工作领导小组负责解释。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3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赣州市南康区龙回镇三益片中心小学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30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2025年2月</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（5）实施周期</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每个学期都开展</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（6）年度预算安排</w:t>
      </w:r>
    </w:p>
    <w:p>
      <w:pPr>
        <w:keepNext w:val="0"/>
        <w:keepLines w:val="0"/>
        <w:pageBreakBefore w:val="0"/>
        <w:kinsoku/>
        <w:wordWrap/>
        <w:overflowPunct/>
        <w:topLinePunct w:val="0"/>
        <w:autoSpaceDE/>
        <w:autoSpaceDN/>
        <w:bidi w:val="0"/>
        <w:spacing w:line="240" w:lineRule="auto"/>
        <w:ind w:left="1" w:right="449" w:rightChars="214"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预计收费60万元，用于教师工资福利的发放及课后服务相关支出。</w:t>
      </w:r>
    </w:p>
    <w:p>
      <w:pPr>
        <w:keepNext w:val="0"/>
        <w:keepLines w:val="0"/>
        <w:pageBreakBefore w:val="0"/>
        <w:widowControl/>
        <w:numPr>
          <w:ilvl w:val="0"/>
          <w:numId w:val="1"/>
        </w:numPr>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绩效目标和制表</w:t>
      </w:r>
    </w:p>
    <w:p>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p>
    <w:p>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r>
        <w:drawing>
          <wp:inline distT="0" distB="0" distL="114300" distR="114300">
            <wp:extent cx="5271770" cy="6096635"/>
            <wp:effectExtent l="0" t="0" r="5080" b="18415"/>
            <wp:docPr id="3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2"/>
                    <pic:cNvPicPr>
                      <a:picLocks noChangeAspect="1"/>
                    </pic:cNvPicPr>
                  </pic:nvPicPr>
                  <pic:blipFill>
                    <a:blip r:embed="rId17"/>
                    <a:stretch>
                      <a:fillRect/>
                    </a:stretch>
                  </pic:blipFill>
                  <pic:spPr>
                    <a:xfrm>
                      <a:off x="0" y="0"/>
                      <a:ext cx="5271770" cy="609663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r>
        <w:drawing>
          <wp:inline distT="0" distB="0" distL="114300" distR="114300">
            <wp:extent cx="5274310" cy="4651375"/>
            <wp:effectExtent l="0" t="0" r="2540" b="15875"/>
            <wp:docPr id="3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pic:cNvPicPr>
                      <a:picLocks noChangeAspect="1"/>
                    </pic:cNvPicPr>
                  </pic:nvPicPr>
                  <pic:blipFill>
                    <a:blip r:embed="rId16"/>
                    <a:stretch>
                      <a:fillRect/>
                    </a:stretch>
                  </pic:blipFill>
                  <pic:spPr>
                    <a:xfrm>
                      <a:off x="0" y="0"/>
                      <a:ext cx="5274310" cy="465137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2025年赣州市南康区龙回镇三益片中心小学"三公"经费一般公共预算安排0.1万元，较上年增加0万元，其中：</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_GB2312" w:hAnsi="仿宋_GB2312" w:eastAsia="仿宋_GB2312"/>
          <w:sz w:val="32"/>
          <w:szCs w:val="32"/>
          <w:lang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lang w:eastAsia="zh-CN"/>
        </w:rPr>
        <w:t>因公出国。</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公务接待0.1万元，比上年增加0万元。</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_GB2312" w:hAnsi="仿宋_GB2312" w:eastAsia="仿宋_GB2312"/>
          <w:sz w:val="32"/>
          <w:szCs w:val="32"/>
          <w:lang w:eastAsia="zh-CN"/>
        </w:rPr>
        <w:t>无公务车辆</w:t>
      </w:r>
      <w:r>
        <w:rPr>
          <w:rFonts w:hint="eastAsia" w:ascii="仿宋" w:hAnsi="仿宋" w:eastAsia="仿宋" w:cs="仿宋"/>
          <w:kern w:val="2"/>
          <w:sz w:val="32"/>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_GB2312" w:hAnsi="仿宋_GB2312" w:eastAsia="仿宋_GB2312"/>
          <w:sz w:val="32"/>
          <w:szCs w:val="32"/>
          <w:lang w:eastAsia="zh-CN"/>
        </w:rPr>
        <w:t>无计划购置公务车辆</w:t>
      </w:r>
      <w:r>
        <w:rPr>
          <w:rFonts w:hint="eastAsia" w:ascii="仿宋" w:hAnsi="仿宋" w:eastAsia="仿宋" w:cs="仿宋"/>
          <w:kern w:val="2"/>
          <w:sz w:val="32"/>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keepNext w:val="0"/>
        <w:keepLines w:val="0"/>
        <w:pageBreakBefore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pPr>
        <w:keepNext w:val="0"/>
        <w:keepLines w:val="0"/>
        <w:pageBreakBefore w:val="0"/>
        <w:widowControl/>
        <w:shd w:val="clear" w:color="auto" w:fill="FFFFFF"/>
        <w:kinsoku/>
        <w:wordWrap/>
        <w:overflowPunct/>
        <w:topLinePunct w:val="0"/>
        <w:autoSpaceDE/>
        <w:autoSpaceDN/>
        <w:bidi w:val="0"/>
        <w:spacing w:line="240" w:lineRule="auto"/>
        <w:ind w:firstLine="800" w:firstLineChars="250"/>
        <w:jc w:val="left"/>
        <w:textAlignment w:val="auto"/>
        <w:rPr>
          <w:rFonts w:hint="eastAsia" w:ascii="黑体" w:hAnsi="黑体" w:eastAsia="黑体" w:cs="黑体"/>
          <w:b w:val="0"/>
          <w:bCs w:val="0"/>
          <w:sz w:val="32"/>
          <w:szCs w:val="32"/>
        </w:rPr>
      </w:pPr>
    </w:p>
    <w:p>
      <w:pPr>
        <w:keepNext w:val="0"/>
        <w:keepLines w:val="0"/>
        <w:pageBreakBefore w:val="0"/>
        <w:widowControl/>
        <w:shd w:val="clear" w:color="auto" w:fill="FFFFFF"/>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（一）“三公”经费：纳入预算管理的“三公”经费，是指用财政拨款安排的因公出国（境)费、公务用车购置及运行费和公务接待费。</w:t>
      </w:r>
    </w:p>
    <w:p>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bidi="ar-SA"/>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1DB47"/>
    <w:multiLevelType w:val="singleLevel"/>
    <w:tmpl w:val="3AC1DB4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NGRiYWU3YWZiNjMyMmJiMmQ3MjAwYmY2MzUwODcifQ=="/>
    <w:docVar w:name="KSO_WPS_MARK_KEY" w:val="c65701a2-fe01-45db-8f42-dd0f53f8eae2"/>
  </w:docVars>
  <w:rsids>
    <w:rsidRoot w:val="00172A27"/>
    <w:rsid w:val="022E105C"/>
    <w:rsid w:val="0781151E"/>
    <w:rsid w:val="09B361AA"/>
    <w:rsid w:val="0DCE3C4C"/>
    <w:rsid w:val="11D0489E"/>
    <w:rsid w:val="11DD37F5"/>
    <w:rsid w:val="12F0682B"/>
    <w:rsid w:val="1AA1373B"/>
    <w:rsid w:val="20D02B5C"/>
    <w:rsid w:val="216B3C95"/>
    <w:rsid w:val="24923769"/>
    <w:rsid w:val="2B6064B4"/>
    <w:rsid w:val="2B966EB3"/>
    <w:rsid w:val="2D9F180A"/>
    <w:rsid w:val="2ED52685"/>
    <w:rsid w:val="3342437E"/>
    <w:rsid w:val="361F021D"/>
    <w:rsid w:val="368C578D"/>
    <w:rsid w:val="37604D28"/>
    <w:rsid w:val="377E58E4"/>
    <w:rsid w:val="399837A7"/>
    <w:rsid w:val="3A331955"/>
    <w:rsid w:val="3C635260"/>
    <w:rsid w:val="3D6C7658"/>
    <w:rsid w:val="3F8A2AD8"/>
    <w:rsid w:val="441A3F97"/>
    <w:rsid w:val="49090AA8"/>
    <w:rsid w:val="496527D7"/>
    <w:rsid w:val="4CF0228C"/>
    <w:rsid w:val="50622BE2"/>
    <w:rsid w:val="598F4A10"/>
    <w:rsid w:val="644270D2"/>
    <w:rsid w:val="691507DE"/>
    <w:rsid w:val="6BCC2FDC"/>
    <w:rsid w:val="6BD567CA"/>
    <w:rsid w:val="70CD49DF"/>
    <w:rsid w:val="733F28AB"/>
    <w:rsid w:val="76A038F3"/>
    <w:rsid w:val="79D53A61"/>
    <w:rsid w:val="7F204A21"/>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4200</Words>
  <Characters>4472</Characters>
  <Lines>0</Lines>
  <Paragraphs>0</Paragraphs>
  <TotalTime>4</TotalTime>
  <ScaleCrop>false</ScaleCrop>
  <LinksUpToDate>false</LinksUpToDate>
  <CharactersWithSpaces>4532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无醇酒香</cp:lastModifiedBy>
  <cp:lastPrinted>2024-02-19T02:53:00Z</cp:lastPrinted>
  <dcterms:modified xsi:type="dcterms:W3CDTF">2025-02-07T03:39:34Z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6177370B57F84BC9B45CB4B3B960D8B1</vt:lpwstr>
  </property>
</Properties>
</file>