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4FB0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olor w:val="000000"/>
          <w:sz w:val="32"/>
          <w:szCs w:val="32"/>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赞贤小学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557CFD72">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lang w:eastAsia="zh-CN"/>
        </w:rPr>
      </w:pP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赣州市南康区赞贤小学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赣州市南康区赞贤小学202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赣州市南康区赞贤小学202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1C716B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7AFB5C1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FC05D0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赞贤小学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rPr>
        <w:t>一、</w:t>
      </w:r>
      <w:bookmarkStart w:id="0" w:name="_GoBack"/>
      <w:r>
        <w:rPr>
          <w:rFonts w:hint="eastAsia" w:ascii="黑体" w:hAnsi="黑体" w:eastAsia="黑体"/>
          <w:sz w:val="32"/>
          <w:szCs w:val="32"/>
        </w:rPr>
        <w:t>部门主要职责</w:t>
      </w:r>
    </w:p>
    <w:p w14:paraId="35D297D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FF0000"/>
          <w:kern w:val="2"/>
          <w:sz w:val="32"/>
          <w:szCs w:val="30"/>
          <w:lang w:eastAsia="zh-CN"/>
        </w:rPr>
      </w:pPr>
      <w:r>
        <w:rPr>
          <w:rFonts w:hint="eastAsia" w:ascii="仿宋" w:hAnsi="仿宋" w:eastAsia="仿宋" w:cs="仿宋"/>
          <w:sz w:val="32"/>
          <w:szCs w:val="32"/>
        </w:rPr>
        <w:t>赣州市</w:t>
      </w:r>
      <w:bookmarkEnd w:id="0"/>
      <w:r>
        <w:rPr>
          <w:rFonts w:hint="eastAsia" w:ascii="仿宋" w:hAnsi="仿宋" w:eastAsia="仿宋" w:cs="仿宋"/>
          <w:sz w:val="32"/>
          <w:szCs w:val="32"/>
        </w:rPr>
        <w:t>南康区</w:t>
      </w:r>
      <w:r>
        <w:rPr>
          <w:rFonts w:hint="eastAsia" w:ascii="仿宋" w:hAnsi="仿宋" w:eastAsia="仿宋" w:cs="仿宋"/>
          <w:sz w:val="32"/>
          <w:szCs w:val="32"/>
          <w:lang w:eastAsia="zh-CN"/>
        </w:rPr>
        <w:t>赞贤小学是区教育体育科技局局属正股级单位，</w:t>
      </w:r>
      <w:r>
        <w:rPr>
          <w:rFonts w:hint="eastAsia" w:ascii="仿宋" w:hAnsi="仿宋" w:eastAsia="仿宋" w:cs="仿宋"/>
          <w:sz w:val="32"/>
          <w:szCs w:val="32"/>
        </w:rPr>
        <w:t>主要职责是：实施小学义务教育，促进基础教育发展</w:t>
      </w:r>
      <w:r>
        <w:rPr>
          <w:rFonts w:hint="eastAsia" w:ascii="仿宋" w:hAnsi="仿宋" w:eastAsia="仿宋" w:cs="仿宋"/>
          <w:sz w:val="32"/>
          <w:szCs w:val="32"/>
          <w:lang w:eastAsia="zh-CN"/>
        </w:rPr>
        <w:t>，</w:t>
      </w:r>
      <w:r>
        <w:rPr>
          <w:rFonts w:hint="eastAsia" w:ascii="仿宋" w:hAnsi="仿宋" w:eastAsia="仿宋" w:cs="仿宋"/>
          <w:sz w:val="32"/>
          <w:szCs w:val="32"/>
        </w:rPr>
        <w:t>小学学历教育及相关社会服务。</w:t>
      </w:r>
    </w:p>
    <w:p w14:paraId="77DF0291">
      <w:pPr>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847378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本单位内设机构有</w:t>
      </w:r>
      <w:r>
        <w:rPr>
          <w:rFonts w:hint="eastAsia" w:ascii="仿宋" w:hAnsi="仿宋" w:eastAsia="仿宋" w:cs="仿宋"/>
          <w:sz w:val="32"/>
          <w:szCs w:val="32"/>
          <w:lang w:val="en-US" w:eastAsia="zh-CN"/>
        </w:rPr>
        <w:t>10个处室，分别为</w:t>
      </w:r>
      <w:r>
        <w:rPr>
          <w:rFonts w:hint="eastAsia" w:ascii="仿宋" w:hAnsi="仿宋" w:eastAsia="仿宋" w:cs="仿宋"/>
          <w:sz w:val="32"/>
          <w:szCs w:val="32"/>
          <w:lang w:eastAsia="zh-CN"/>
        </w:rPr>
        <w:t>党政办、教导处、教研处、资助中心、幼教中心、总务处、校安办、德育处、少先队、艺体中心；</w:t>
      </w:r>
      <w:r>
        <w:rPr>
          <w:rFonts w:hint="eastAsia" w:ascii="仿宋" w:hAnsi="仿宋" w:eastAsia="仿宋" w:cs="仿宋"/>
          <w:sz w:val="32"/>
          <w:szCs w:val="32"/>
          <w:lang w:val="en-US" w:eastAsia="zh-CN"/>
        </w:rPr>
        <w:t>9个村小，分别为赣州市南康区东山街道官坑小学、赣州市南康区东山街道窑边小学、赣州市南康区东山街道坪塘小学、赣州市南康区东山街道坪岭小学、赣州市南康区东山街道官石塘小学、赣州市南康区东山街道文峰小学、赣州市南康区东山街道上垅小学、赣州市南康区东山街道坨圳小学、赣州市南康区东山街道南山小学。</w:t>
      </w:r>
    </w:p>
    <w:p w14:paraId="594164E8">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0"/>
          <w:lang w:eastAsia="zh-CN"/>
        </w:rPr>
        <w:t>本单位</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${page400644146.ds532982397_REP_JX_BAS_AGENCY_INFO_ZYFRS_S_BZRSXJ}</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编制人数小计</w:t>
      </w:r>
      <w:r>
        <w:rPr>
          <w:rFonts w:hint="eastAsia" w:ascii="仿宋" w:hAnsi="仿宋" w:eastAsia="仿宋" w:cs="仿宋"/>
          <w:color w:val="auto"/>
          <w:kern w:val="0"/>
          <w:sz w:val="32"/>
          <w:szCs w:val="32"/>
          <w:lang w:val="en-US" w:eastAsia="zh-CN"/>
        </w:rPr>
        <w:t>229</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color w:val="auto"/>
          <w:sz w:val="32"/>
          <w:szCs w:val="32"/>
        </w:rPr>
        <w:t>其中：</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${page400644146.ds532982397_REP_JX_BAS_AGENCY_INFO_ZYFRS_S_BZRSMX}</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行政编制人数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人,参照公务员管理的事业编制人数</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人,全部补助事业编制人数</w:t>
      </w:r>
      <w:r>
        <w:rPr>
          <w:rFonts w:hint="eastAsia" w:ascii="仿宋" w:hAnsi="仿宋" w:eastAsia="仿宋" w:cs="仿宋"/>
          <w:color w:val="auto"/>
          <w:kern w:val="0"/>
          <w:sz w:val="32"/>
          <w:szCs w:val="32"/>
          <w:lang w:val="en-US" w:eastAsia="zh-CN"/>
        </w:rPr>
        <w:t>229</w:t>
      </w:r>
      <w:r>
        <w:rPr>
          <w:rFonts w:hint="eastAsia" w:ascii="仿宋" w:hAnsi="仿宋" w:eastAsia="仿宋" w:cs="仿宋"/>
          <w:color w:val="auto"/>
          <w:sz w:val="32"/>
          <w:szCs w:val="32"/>
        </w:rPr>
        <w:t>人,自收自支编制人数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${page400644146.ds532982397_REP_JX_BAS_AGENCY_INFO_ZYFRS_S_SYRSXJ}</w:instrText>
      </w:r>
      <w:r>
        <w:rPr>
          <w:rFonts w:hint="eastAsia" w:ascii="仿宋" w:hAnsi="仿宋" w:eastAsia="仿宋" w:cs="仿宋"/>
          <w:sz w:val="32"/>
          <w:szCs w:val="32"/>
        </w:rPr>
        <w:fldChar w:fldCharType="separate"/>
      </w:r>
      <w:r>
        <w:rPr>
          <w:rFonts w:hint="eastAsia" w:ascii="仿宋" w:hAnsi="仿宋" w:eastAsia="仿宋" w:cs="仿宋"/>
          <w:sz w:val="32"/>
          <w:szCs w:val="32"/>
        </w:rPr>
        <w:t>实有人数小计</w:t>
      </w:r>
      <w:r>
        <w:rPr>
          <w:rFonts w:hint="eastAsia" w:ascii="仿宋" w:hAnsi="仿宋" w:eastAsia="仿宋" w:cs="仿宋"/>
          <w:kern w:val="0"/>
          <w:sz w:val="32"/>
          <w:szCs w:val="32"/>
          <w:lang w:val="en-US" w:eastAsia="zh-CN"/>
        </w:rPr>
        <w:t>229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t>其中：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${page400644146.ds532982397_REP_JX_BAS_AGENCY_INFO_ZYFRS_S_ZZRSXJ}</w:instrText>
      </w:r>
      <w:r>
        <w:rPr>
          <w:rFonts w:hint="eastAsia" w:ascii="仿宋" w:hAnsi="仿宋" w:eastAsia="仿宋" w:cs="仿宋"/>
          <w:sz w:val="32"/>
          <w:szCs w:val="32"/>
        </w:rPr>
        <w:fldChar w:fldCharType="separate"/>
      </w:r>
      <w:r>
        <w:rPr>
          <w:rFonts w:hint="eastAsia" w:ascii="仿宋" w:hAnsi="仿宋" w:eastAsia="仿宋" w:cs="仿宋"/>
          <w:sz w:val="32"/>
          <w:szCs w:val="32"/>
        </w:rPr>
        <w:t>在职人数小计</w:t>
      </w:r>
      <w:r>
        <w:rPr>
          <w:rFonts w:hint="eastAsia" w:ascii="仿宋" w:hAnsi="仿宋" w:eastAsia="仿宋" w:cs="仿宋"/>
          <w:kern w:val="0"/>
          <w:sz w:val="32"/>
          <w:szCs w:val="32"/>
          <w:lang w:val="en-US" w:eastAsia="zh-CN"/>
        </w:rPr>
        <w:t>229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${page400644146.ds532982397_REP_JX_BAS_AGENCY_INFO_ZYFRS_S_ZZRSMX}</w:instrText>
      </w:r>
      <w:r>
        <w:rPr>
          <w:rFonts w:hint="eastAsia" w:ascii="仿宋" w:hAnsi="仿宋" w:eastAsia="仿宋" w:cs="仿宋"/>
          <w:sz w:val="32"/>
          <w:szCs w:val="32"/>
        </w:rPr>
        <w:fldChar w:fldCharType="separate"/>
      </w:r>
      <w:r>
        <w:rPr>
          <w:rFonts w:hint="eastAsia" w:ascii="仿宋" w:hAnsi="仿宋" w:eastAsia="仿宋" w:cs="仿宋"/>
          <w:sz w:val="32"/>
          <w:szCs w:val="32"/>
        </w:rPr>
        <w:t>行政在职人数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人,参照公务员管理的事业单位在职人数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人,全部补助事业在职人数</w:t>
      </w:r>
      <w:r>
        <w:rPr>
          <w:rFonts w:hint="eastAsia" w:ascii="仿宋" w:hAnsi="仿宋" w:eastAsia="仿宋" w:cs="仿宋"/>
          <w:kern w:val="0"/>
          <w:sz w:val="32"/>
          <w:szCs w:val="32"/>
          <w:lang w:val="en-US" w:eastAsia="zh-CN"/>
        </w:rPr>
        <w:t>229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${page400644146.ds532982397_REP_JX_BAS_AGENCY_INFO_ZYFRS_S_QTRSMX}</w:instrText>
      </w:r>
      <w:r>
        <w:rPr>
          <w:rFonts w:hint="eastAsia" w:ascii="仿宋" w:hAnsi="仿宋" w:eastAsia="仿宋" w:cs="仿宋"/>
          <w:sz w:val="32"/>
          <w:szCs w:val="32"/>
        </w:rPr>
        <w:fldChar w:fldCharType="separate"/>
      </w:r>
      <w:r>
        <w:rPr>
          <w:rFonts w:hint="eastAsia" w:ascii="仿宋" w:hAnsi="仿宋" w:eastAsia="仿宋" w:cs="仿宋"/>
          <w:sz w:val="32"/>
          <w:szCs w:val="32"/>
        </w:rPr>
        <w:t>离休人数小计</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人,退休人数小计</w:t>
      </w:r>
      <w:r>
        <w:rPr>
          <w:rFonts w:hint="eastAsia" w:ascii="仿宋" w:hAnsi="仿宋" w:eastAsia="仿宋" w:cs="仿宋"/>
          <w:sz w:val="32"/>
          <w:szCs w:val="32"/>
          <w:lang w:val="en-US" w:eastAsia="zh-CN"/>
        </w:rPr>
        <w:t>88</w:t>
      </w:r>
      <w:r>
        <w:rPr>
          <w:rFonts w:hint="eastAsia" w:ascii="仿宋" w:hAnsi="仿宋" w:eastAsia="仿宋" w:cs="仿宋"/>
          <w:sz w:val="32"/>
          <w:szCs w:val="32"/>
        </w:rPr>
        <w:t>人,退职人员</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人,遗属人数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${page400644146.ds532982397_REP_JX_BAS_AGENCY_INFO_ZYFRS_S_ZXXSMX}</w:instrText>
      </w:r>
      <w:r>
        <w:rPr>
          <w:rFonts w:hint="eastAsia" w:ascii="仿宋" w:hAnsi="仿宋" w:eastAsia="仿宋" w:cs="仿宋"/>
          <w:sz w:val="32"/>
          <w:szCs w:val="32"/>
        </w:rPr>
        <w:fldChar w:fldCharType="separate"/>
      </w:r>
      <w:r>
        <w:rPr>
          <w:rFonts w:hint="eastAsia" w:ascii="仿宋" w:hAnsi="仿宋" w:eastAsia="仿宋" w:cs="仿宋"/>
          <w:sz w:val="32"/>
          <w:szCs w:val="32"/>
        </w:rPr>
        <w:t>在校学生</w:t>
      </w:r>
      <w:r>
        <w:rPr>
          <w:rFonts w:hint="eastAsia" w:ascii="仿宋" w:hAnsi="仿宋" w:eastAsia="仿宋" w:cs="仿宋"/>
          <w:kern w:val="0"/>
          <w:sz w:val="32"/>
          <w:szCs w:val="32"/>
          <w:lang w:val="en-US" w:eastAsia="zh-CN"/>
        </w:rPr>
        <w:t>3508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rPr>
        <w:fldChar w:fldCharType="end"/>
      </w:r>
    </w:p>
    <w:p w14:paraId="232CDD1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赞贤小学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40D7D547">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0BDEDF8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w w:val="99"/>
          <w:sz w:val="32"/>
          <w:szCs w:val="32"/>
        </w:rPr>
        <w:t>赣州市南康区</w:t>
      </w:r>
      <w:r>
        <w:rPr>
          <w:rFonts w:hint="eastAsia" w:ascii="黑体" w:hAnsi="黑体" w:eastAsia="黑体" w:cs="黑体"/>
          <w:b w:val="0"/>
          <w:bCs/>
          <w:w w:val="99"/>
          <w:sz w:val="32"/>
          <w:szCs w:val="32"/>
          <w:lang w:eastAsia="zh-CN"/>
        </w:rPr>
        <w:t>赞贤小学</w:t>
      </w:r>
      <w:r>
        <w:rPr>
          <w:rFonts w:hint="eastAsia" w:ascii="黑体" w:hAnsi="黑体" w:eastAsia="黑体" w:cs="黑体"/>
          <w:b w:val="0"/>
          <w:bCs/>
          <w:w w:val="99"/>
          <w:sz w:val="32"/>
          <w:szCs w:val="30"/>
          <w:lang w:eastAsia="zh-CN"/>
        </w:rPr>
        <w:t>202</w:t>
      </w:r>
      <w:r>
        <w:rPr>
          <w:rFonts w:hint="eastAsia" w:ascii="黑体" w:hAnsi="黑体" w:eastAsia="黑体" w:cs="黑体"/>
          <w:b w:val="0"/>
          <w:bCs/>
          <w:w w:val="99"/>
          <w:sz w:val="32"/>
          <w:szCs w:val="30"/>
          <w:lang w:val="en-US" w:eastAsia="zh-CN"/>
        </w:rPr>
        <w:t>5</w:t>
      </w:r>
      <w:r>
        <w:rPr>
          <w:rFonts w:hint="eastAsia" w:ascii="黑体" w:hAnsi="黑体" w:eastAsia="黑体" w:cs="黑体"/>
          <w:b w:val="0"/>
          <w:bCs/>
          <w:w w:val="99"/>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both"/>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赣州市南康区赞贤小学收入预算总额为</w:t>
      </w:r>
      <w:r>
        <w:rPr>
          <w:rFonts w:hint="eastAsia" w:ascii="仿宋" w:hAnsi="仿宋" w:eastAsia="仿宋" w:cs="仿宋"/>
          <w:kern w:val="2"/>
          <w:sz w:val="32"/>
          <w:szCs w:val="30"/>
          <w:lang w:val="en-US" w:eastAsia="zh-CN"/>
        </w:rPr>
        <w:t>3656.18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134.64</w:t>
      </w:r>
      <w:r>
        <w:rPr>
          <w:rFonts w:hint="eastAsia" w:ascii="仿宋" w:hAnsi="仿宋" w:eastAsia="仿宋" w:cs="仿宋"/>
          <w:kern w:val="2"/>
          <w:sz w:val="32"/>
          <w:szCs w:val="30"/>
          <w:lang w:eastAsia="zh-CN"/>
        </w:rPr>
        <w:t>万元，主要原因是新增单位资金减少。其中：财政拨款收入</w:t>
      </w:r>
      <w:r>
        <w:rPr>
          <w:rFonts w:hint="eastAsia" w:ascii="仿宋" w:hAnsi="仿宋" w:eastAsia="仿宋" w:cs="仿宋"/>
          <w:kern w:val="2"/>
          <w:sz w:val="32"/>
          <w:szCs w:val="30"/>
          <w:lang w:val="en-US" w:eastAsia="zh-CN"/>
        </w:rPr>
        <w:t>2446.18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478.46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年赣州市南康区赞贤小学支出预算总额为支出预算总额为</w:t>
      </w:r>
      <w:r>
        <w:rPr>
          <w:rFonts w:hint="eastAsia" w:ascii="仿宋" w:hAnsi="仿宋" w:eastAsia="仿宋" w:cs="仿宋"/>
          <w:kern w:val="2"/>
          <w:sz w:val="32"/>
          <w:szCs w:val="30"/>
          <w:lang w:val="en-US" w:eastAsia="zh-CN"/>
        </w:rPr>
        <w:t>3656.18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134.64</w:t>
      </w:r>
      <w:r>
        <w:rPr>
          <w:rFonts w:hint="eastAsia" w:ascii="仿宋" w:hAnsi="仿宋" w:eastAsia="仿宋" w:cs="仿宋"/>
          <w:kern w:val="2"/>
          <w:sz w:val="32"/>
          <w:szCs w:val="30"/>
          <w:lang w:eastAsia="zh-CN"/>
        </w:rPr>
        <w:t>万元，主要原因是新增单位资金减少。其中：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2445.51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478.46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2442.99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1210.67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613.1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501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595.67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114</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3656.18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134.64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2943.99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976.94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595.67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1178.1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0.48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114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64</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年赣州市南康区赞贤小学财政拨款支出预算总额为财政拨款支出预算总额</w:t>
      </w:r>
      <w:r>
        <w:rPr>
          <w:rFonts w:hint="eastAsia" w:ascii="仿宋" w:hAnsi="仿宋" w:eastAsia="仿宋" w:cs="仿宋"/>
          <w:kern w:val="2"/>
          <w:sz w:val="32"/>
          <w:szCs w:val="30"/>
          <w:lang w:val="en-US" w:eastAsia="zh-CN"/>
        </w:rPr>
        <w:t>2446.18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478.46</w:t>
      </w:r>
      <w:r>
        <w:rPr>
          <w:rFonts w:hint="eastAsia" w:ascii="仿宋" w:hAnsi="仿宋" w:eastAsia="仿宋" w:cs="仿宋"/>
          <w:kern w:val="2"/>
          <w:sz w:val="32"/>
          <w:szCs w:val="30"/>
          <w:lang w:eastAsia="zh-CN"/>
        </w:rPr>
        <w:t>万元，主要原因是增加公积金财政配套部分。</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2446.18</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2445.51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478.46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2442.99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0.67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0.67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000000" w:themeColor="text1"/>
          <w:kern w:val="2"/>
          <w:sz w:val="32"/>
          <w:szCs w:val="30"/>
          <w:lang w:val="en-US" w:eastAsia="zh-CN"/>
          <w14:textFill>
            <w14:solidFill>
              <w14:schemeClr w14:val="tx1"/>
            </w14:solidFill>
          </w14:textFill>
        </w:rPr>
        <w:t>年赣州市南康区赞贤小学</w:t>
      </w:r>
      <w:r>
        <w:rPr>
          <w:rFonts w:hint="eastAsia" w:ascii="仿宋" w:hAnsi="仿宋" w:eastAsia="仿宋" w:cs="仿宋"/>
          <w:color w:val="000000" w:themeColor="text1"/>
          <w:kern w:val="2"/>
          <w:sz w:val="32"/>
          <w:szCs w:val="30"/>
          <w:lang w:eastAsia="zh-CN"/>
          <w14:textFill>
            <w14:solidFill>
              <w14:schemeClr w14:val="tx1"/>
            </w14:solidFill>
          </w14:textFill>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000000" w:themeColor="text1"/>
          <w:kern w:val="2"/>
          <w:sz w:val="32"/>
          <w:szCs w:val="30"/>
          <w:lang w:val="en-US" w:eastAsia="zh-CN"/>
          <w14:textFill>
            <w14:solidFill>
              <w14:schemeClr w14:val="tx1"/>
            </w14:solidFill>
          </w14:textFill>
        </w:rPr>
        <w:t>赣州市南康区赞贤小学</w:t>
      </w:r>
      <w:r>
        <w:rPr>
          <w:rFonts w:hint="eastAsia" w:ascii="仿宋" w:hAnsi="仿宋" w:eastAsia="仿宋" w:cs="仿宋"/>
          <w:color w:val="000000" w:themeColor="text1"/>
          <w:kern w:val="2"/>
          <w:sz w:val="32"/>
          <w:szCs w:val="30"/>
          <w:lang w:eastAsia="zh-CN"/>
          <w14:textFill>
            <w14:solidFill>
              <w14:schemeClr w14:val="tx1"/>
            </w14:solidFill>
          </w14:textFill>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14314E7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%，主要原因是主要原因是我单位无机关运行经费。</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2025年赣州市南康区赞贤小学政府采购总额</w:t>
      </w:r>
      <w:r>
        <w:rPr>
          <w:rFonts w:hint="eastAsia" w:ascii="仿宋" w:hAnsi="仿宋" w:eastAsia="仿宋" w:cs="仿宋"/>
          <w:kern w:val="2"/>
          <w:sz w:val="32"/>
          <w:szCs w:val="30"/>
          <w:lang w:val="en-US" w:eastAsia="zh-CN"/>
        </w:rPr>
        <w:t>114</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64</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1353B6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202</w:t>
      </w:r>
      <w:r>
        <w:rPr>
          <w:rFonts w:hint="eastAsia" w:ascii="仿宋" w:hAnsi="仿宋" w:eastAsia="仿宋" w:cs="仿宋"/>
          <w:color w:val="000000" w:themeColor="text1"/>
          <w:kern w:val="2"/>
          <w:sz w:val="32"/>
          <w:szCs w:val="30"/>
          <w:lang w:val="en-US" w:eastAsia="zh-CN"/>
          <w14:textFill>
            <w14:solidFill>
              <w14:schemeClr w14:val="tx1"/>
            </w14:solidFill>
          </w14:textFill>
        </w:rPr>
        <w:t>5</w:t>
      </w:r>
      <w:r>
        <w:rPr>
          <w:rFonts w:hint="eastAsia" w:ascii="仿宋" w:hAnsi="仿宋" w:eastAsia="仿宋" w:cs="仿宋"/>
          <w:color w:val="000000" w:themeColor="text1"/>
          <w:kern w:val="2"/>
          <w:sz w:val="32"/>
          <w:szCs w:val="30"/>
          <w:lang w:eastAsia="zh-CN"/>
          <w14:textFill>
            <w14:solidFill>
              <w14:schemeClr w14:val="tx1"/>
            </w14:solidFill>
          </w14:textFill>
        </w:rPr>
        <w:t xml:space="preserve">年未安排购置单位价值200万元以上大型设备。 </w:t>
      </w:r>
    </w:p>
    <w:p w14:paraId="1A18BA30">
      <w:pPr>
        <w:keepNext w:val="0"/>
        <w:keepLines w:val="0"/>
        <w:pageBreakBefore w:val="0"/>
        <w:kinsoku/>
        <w:wordWrap/>
        <w:overflowPunct/>
        <w:topLinePunct w:val="0"/>
        <w:autoSpaceDE/>
        <w:autoSpaceDN/>
        <w:bidi w:val="0"/>
        <w:spacing w:line="52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项目情况说明</w:t>
      </w:r>
    </w:p>
    <w:p w14:paraId="17E7DFF5">
      <w:pPr>
        <w:keepNext w:val="0"/>
        <w:keepLines w:val="0"/>
        <w:pageBreakBefore w:val="0"/>
        <w:widowControl w:val="0"/>
        <w:kinsoku/>
        <w:wordWrap/>
        <w:overflowPunct/>
        <w:topLinePunct w:val="0"/>
        <w:autoSpaceDE/>
        <w:autoSpaceDN/>
        <w:bidi w:val="0"/>
        <w:adjustRightInd/>
        <w:snapToGrid/>
        <w:spacing w:line="540" w:lineRule="exact"/>
        <w:ind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1.课后服务项目</w:t>
      </w:r>
    </w:p>
    <w:p w14:paraId="78056C4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（1）项目概述</w:t>
      </w:r>
    </w:p>
    <w:p w14:paraId="020644E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满足新时代中小学生和家长对课后服务的迫切需求，帮助家长解决实际困难，增强教育公共服务能力。</w:t>
      </w:r>
    </w:p>
    <w:p w14:paraId="6E8A158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（2）立项依据</w:t>
      </w:r>
    </w:p>
    <w:p w14:paraId="7565E2F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做好中小学生课后服务工作的指导意见》(教基一厅〔2017〕2号)、《关于做好全省中小学生课后服务工作的指导意见》(赣教发〔2019〕10号)、《转发省教育厅等四部门&lt;关于做好全省中小学生课后服务工作的指导意见&gt;的通知》(赣市教基字〔2019〕57号)康府办抄字〔2021〕25号《关于印发&lt;赣州市南康区中小学生课后服务工作实施方案（试行）&gt;的通知》（康教科体字〔2021〕23号）</w:t>
      </w:r>
    </w:p>
    <w:p w14:paraId="216A9BC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（3）实施主题</w:t>
      </w:r>
    </w:p>
    <w:p w14:paraId="4491492A">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全体在校学生</w:t>
      </w:r>
    </w:p>
    <w:p w14:paraId="5E493E6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（4）实施方案</w:t>
      </w:r>
    </w:p>
    <w:p w14:paraId="0AADDE11">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2025年赣州市南康区赞贤小学</w:t>
      </w:r>
    </w:p>
    <w:p w14:paraId="25AE09DB">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课后服务工作实施方案</w:t>
      </w:r>
    </w:p>
    <w:p w14:paraId="7EE8AD0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满足新时代中小学生和家长对课后服务的迫切需求，帮助家长解决实际困难，增强教育公共服务能力，根据教育部《关于做好中小学生课后服务工作的指导意见》(教基一厅〔2017〕2号)、省教育厅等四部门《关于做好全省中小学生课后服务工作的指导意见》(赣教发〔2019〕10号)、市教育局等四部门《转发省教育厅等四部门&lt;关于做好全省中小学生课后服务工作的指导意见&gt;的通知》(赣市教基字〔2019〕57号)、区政府办抄告单（康府办抄字〔2021〕25号）、区教科体局《关于印发&lt;赣州市南康区中小学生课后服务工作实施方案（试行）&gt;的通知》（康教科体字〔2021〕23号）等文件精神，结合我校实际，制定本方案。</w:t>
      </w:r>
    </w:p>
    <w:p w14:paraId="3BBB0DB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一、指导思想</w:t>
      </w:r>
    </w:p>
    <w:p w14:paraId="23992F2D">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全面贯彻落实党的十九大精神，牢固树立以人民为中心的新发展理念，充分利用中小学校在管理、人员、场地、资源等方面的优势，发展素质教育，促进学生全面发展;同时针对家长接送子女上下学难、学生参加校外培训课业负担过重、家长经济负担过重等问题，发挥好中小学校在课后服务中的主渠道作用，开展有利于学生健康成长的便民服务，办好人民满意教育。</w:t>
      </w:r>
    </w:p>
    <w:p w14:paraId="3E03B655">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二、实施原则</w:t>
      </w:r>
    </w:p>
    <w:p w14:paraId="66B97056">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课后服务遵循“家长自愿，校内实施，有效监管”的原则。</w:t>
      </w:r>
    </w:p>
    <w:p w14:paraId="0500CF61">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否参加课后服务，由学生家长自愿选择。学校事先下发《课后服务的告知书》征求家长的意见，主动告知服务方式、服务内容、安全保障措施，在自愿的前提下，由家长通过签订致家长的一封信回执向学校提出书面申请。同时家长签订委托学校进行课后服务协议，并报名登记。 </w:t>
      </w:r>
    </w:p>
    <w:p w14:paraId="46C49A80">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（二）课后服务安排在校园内进行，并合理利用学校现有条件。学校无偿提供校园内教室、运动场地、功能室等场所及其它后勤安全保障。</w:t>
      </w:r>
    </w:p>
    <w:p w14:paraId="002447BC">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三、服务对象：</w:t>
      </w:r>
    </w:p>
    <w:p w14:paraId="7C09DBD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有课后服务需求的赞贤小学在校学生。优先保障残疾儿童、留守儿童、进城务工人员随迁子女、家庭经济困难儿童等亟需服务群体，提倡对个别学习有困难的学生给予免费学习辅导帮助。</w:t>
      </w:r>
    </w:p>
    <w:p w14:paraId="60970A2C">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四、服务时间：</w:t>
      </w:r>
    </w:p>
    <w:p w14:paraId="162EA6A5">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（1）周一至周五下午放学后（2课时）。</w:t>
      </w:r>
    </w:p>
    <w:p w14:paraId="6D14FA67">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（2）周一到周五15:50—17：35。</w:t>
      </w:r>
    </w:p>
    <w:p w14:paraId="5DC417B1">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（3）每学期开学即开始实行。</w:t>
      </w:r>
    </w:p>
    <w:p w14:paraId="0C6042D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五、组织领导</w:t>
      </w:r>
    </w:p>
    <w:p w14:paraId="562FD6F3">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成立赞贤小学课后服务工作领导小组</w:t>
      </w:r>
    </w:p>
    <w:p w14:paraId="3DEFD17A">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长：张万胜</w:t>
      </w:r>
    </w:p>
    <w:p w14:paraId="0B53263F">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副组长：丁华平、张海军、马超河、胡荠方、袁敏</w:t>
      </w:r>
    </w:p>
    <w:p w14:paraId="77943EAA">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员：行政人员及各班教师</w:t>
      </w:r>
    </w:p>
    <w:p w14:paraId="062C762D">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六、服务内容</w:t>
      </w:r>
    </w:p>
    <w:p w14:paraId="373DFC84">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弹性上学服务。在严格执行国家课程方案、开齐开足课程前提下，实行弹性上学，学校尽量早开校门，让家长能够从容送孩子上学；强化早到学生管理，每天安排值日老师分楼层巡逻，使学生“早到可进校、进校有活动、活动有监管”。</w:t>
      </w:r>
    </w:p>
    <w:p w14:paraId="3BEFA121">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(二)课后服务内容</w:t>
      </w:r>
    </w:p>
    <w:p w14:paraId="7749D923">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以辅导学生作业为主，适当安排兴趣小组活动或社团活动。</w:t>
      </w:r>
    </w:p>
    <w:p w14:paraId="3FEDAD01">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七、服务形式</w:t>
      </w:r>
    </w:p>
    <w:p w14:paraId="7D7B241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服务形式分班级和学校两种服务方式。</w:t>
      </w:r>
    </w:p>
    <w:p w14:paraId="21C9228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１.班级服务：由教导处统一安排各班活动课程表，教师分工负责，学生有组织、有计划的进行活动。具体课程安排分年级安排，定人定班。</w:t>
      </w:r>
    </w:p>
    <w:p w14:paraId="44293CC5">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活动内容以班为单位做好计划，由班主任每周填写活动记录(教导处下发)，期末上交学校存档，作为教导处和学校检查落实情况的依据。</w:t>
      </w:r>
    </w:p>
    <w:p w14:paraId="36AAF80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2.学校服务：学校组织了多个艺体兴趣小组，课程由办公室统一安排时间，并认真安排好活动内容。各上课老师及时地做好相关记录，整理好兴趣小组档案，保证每次活动质量。</w:t>
      </w:r>
    </w:p>
    <w:p w14:paraId="7D963620">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八、报名事项</w:t>
      </w:r>
    </w:p>
    <w:p w14:paraId="0899E6BB">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（一）报名时间：学校报名当天</w:t>
      </w:r>
    </w:p>
    <w:p w14:paraId="2AB108E0">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（二）缴费事项</w:t>
      </w:r>
    </w:p>
    <w:p w14:paraId="05CE370D">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缴费标准：本学期课后托管服务收费标准为540元/生。</w:t>
      </w:r>
    </w:p>
    <w:p w14:paraId="6EEC7317">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缴费步骤：支付宝——赣服通——教育缴费——中小学缴费——输入学生身份证号和验证码——完成支付。</w:t>
      </w:r>
    </w:p>
    <w:p w14:paraId="04B484F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（三）上交材料</w:t>
      </w:r>
    </w:p>
    <w:p w14:paraId="3E67CD1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将报名回执、协议书、缴费凭证交至班主任处，则完成报名，按班主任通知参加课后服务。</w:t>
      </w:r>
    </w:p>
    <w:p w14:paraId="1803C107">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七、管理机制</w:t>
      </w:r>
    </w:p>
    <w:p w14:paraId="3A411455">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（一）教师管理</w:t>
      </w:r>
    </w:p>
    <w:p w14:paraId="1591F74C">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1.人员安排。各班教师在正常履行职责和按质按量完成工作任务前提下，积极参与课后服务工作。</w:t>
      </w:r>
    </w:p>
    <w:p w14:paraId="2048D022">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考核。学校根据实际制定考核方案，将教职工参与课后服务工作表现纳入考核范围，每学期表彰一批表现突出的教职工；对不认真参与、不遵守考勤或其它工作纪律的教职工，要及时进行警醒教育，情节严重者给予相应处分。</w:t>
      </w:r>
    </w:p>
    <w:p w14:paraId="3E6BD6C6">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3.劳酬发放。对参与课后服务的教职工，学校按75元/课时的标准，及时发放劳动报酬。领导巡课按参与课后服务教师标准发放。</w:t>
      </w:r>
    </w:p>
    <w:p w14:paraId="026AD95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（二）学生管理</w:t>
      </w:r>
    </w:p>
    <w:p w14:paraId="4AC6B75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1.参加课后服务学生的管理，健全学生花名册，坚持随堂点名制度，如遇特殊情况不能参加当天课后服务，须履清请假手续。</w:t>
      </w:r>
    </w:p>
    <w:p w14:paraId="49D7927A">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2.未参加课后服务学生的管理，健全学生花名册，下午离校时安排值日老师点名护送，未到的学生由班主任进行跟踪记录。</w:t>
      </w:r>
    </w:p>
    <w:p w14:paraId="2D3C195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（三）经费管理</w:t>
      </w:r>
    </w:p>
    <w:p w14:paraId="14296D6D">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1.课后服务坚持公益原则，不得以营利为目的。严禁以课后服务名义违规收取其他名目的费用。</w:t>
      </w:r>
    </w:p>
    <w:p w14:paraId="123734D3">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2.实行“收支两条线”管理，课后服务收取的费用通过财政专用账户缴入区财政，再由区财政返还后，用于学校课后服务的成本开支。</w:t>
      </w:r>
    </w:p>
    <w:p w14:paraId="032DBAB6">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3.严格执行财务管理制度，建立专项管理账目，专款专用，按规定据实列支。</w:t>
      </w:r>
    </w:p>
    <w:p w14:paraId="0CC2965F">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（四）制度管理</w:t>
      </w:r>
    </w:p>
    <w:p w14:paraId="50BCD160">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切实加强保障课后服务学生安全、有序、有效开展。制定并落实严格的考勤、监管措施。制定《赣州市南康区赞贤小学课后服务考核方案》、《赣州市南康区赞贤小学课后服务安全制度》、《赣州市南康区赞贤小学课后服务应急预案》、《赣州市南康区赞贤小学课后服务工作管理制度》等规章制度。</w:t>
      </w:r>
    </w:p>
    <w:p w14:paraId="4451D8EE">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本方案未尽事宜由赞贤小学课后服务工作领导小组负责解释。</w:t>
      </w:r>
    </w:p>
    <w:p w14:paraId="7EA7BD58">
      <w:pPr>
        <w:keepNext w:val="0"/>
        <w:keepLines w:val="0"/>
        <w:pageBreakBefore w:val="0"/>
        <w:widowControl w:val="0"/>
        <w:kinsoku/>
        <w:wordWrap/>
        <w:overflowPunct/>
        <w:topLinePunct w:val="0"/>
        <w:autoSpaceDE/>
        <w:autoSpaceDN/>
        <w:bidi w:val="0"/>
        <w:adjustRightInd/>
        <w:snapToGrid/>
        <w:spacing w:line="540" w:lineRule="exact"/>
        <w:ind w:right="449" w:rightChars="214"/>
        <w:jc w:val="both"/>
        <w:textAlignment w:val="auto"/>
        <w:rPr>
          <w:rFonts w:hint="eastAsia" w:ascii="仿宋" w:hAnsi="仿宋" w:eastAsia="仿宋" w:cs="仿宋"/>
          <w:sz w:val="32"/>
          <w:szCs w:val="32"/>
          <w:lang w:val="en-US" w:eastAsia="zh-CN"/>
        </w:rPr>
      </w:pPr>
    </w:p>
    <w:p w14:paraId="529B4708">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赣州市南康区赞贤小学</w:t>
      </w:r>
    </w:p>
    <w:p w14:paraId="0F8AB4E5">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2024年12月2日</w:t>
      </w:r>
    </w:p>
    <w:p w14:paraId="5E723E7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实施周期</w:t>
      </w:r>
    </w:p>
    <w:p w14:paraId="2703DA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449" w:rightChars="214"/>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2025年全年</w:t>
      </w:r>
    </w:p>
    <w:p w14:paraId="74B9591A">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（6）年度预算安排</w:t>
      </w:r>
    </w:p>
    <w:p w14:paraId="21BA17A0">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预计收费594万元，用于教师课后服务报酬的发放及用于课后服务的水电日常开支。</w:t>
      </w:r>
    </w:p>
    <w:p w14:paraId="29D8A8DA">
      <w:pPr>
        <w:keepNext w:val="0"/>
        <w:keepLines w:val="0"/>
        <w:pageBreakBefore w:val="0"/>
        <w:widowControl w:val="0"/>
        <w:kinsoku/>
        <w:wordWrap/>
        <w:overflowPunct/>
        <w:topLinePunct w:val="0"/>
        <w:autoSpaceDE/>
        <w:autoSpaceDN/>
        <w:bidi w:val="0"/>
        <w:adjustRightInd/>
        <w:snapToGrid/>
        <w:spacing w:line="54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（7）绩效目标和指标</w:t>
      </w:r>
    </w:p>
    <w:p w14:paraId="1A9C243E">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46355</wp:posOffset>
            </wp:positionV>
            <wp:extent cx="5278120" cy="1447800"/>
            <wp:effectExtent l="0" t="0" r="10160" b="0"/>
            <wp:wrapNone/>
            <wp:docPr id="2" name="图片 2" descr="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1"/>
                    <pic:cNvPicPr>
                      <a:picLocks noChangeAspect="1"/>
                    </pic:cNvPicPr>
                  </pic:nvPicPr>
                  <pic:blipFill>
                    <a:blip r:embed="rId7"/>
                    <a:stretch>
                      <a:fillRect/>
                    </a:stretch>
                  </pic:blipFill>
                  <pic:spPr>
                    <a:xfrm>
                      <a:off x="0" y="0"/>
                      <a:ext cx="5278120" cy="1447800"/>
                    </a:xfrm>
                    <a:prstGeom prst="rect">
                      <a:avLst/>
                    </a:prstGeom>
                  </pic:spPr>
                </pic:pic>
              </a:graphicData>
            </a:graphic>
          </wp:anchor>
        </w:drawing>
      </w:r>
    </w:p>
    <w:p w14:paraId="212F1887">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p>
    <w:p w14:paraId="3CE9E409">
      <w:pPr>
        <w:keepNext w:val="0"/>
        <w:keepLines w:val="0"/>
        <w:pageBreakBefore w:val="0"/>
        <w:widowControl w:val="0"/>
        <w:kinsoku/>
        <w:wordWrap/>
        <w:overflowPunct/>
        <w:topLinePunct w:val="0"/>
        <w:autoSpaceDE/>
        <w:autoSpaceDN/>
        <w:bidi w:val="0"/>
        <w:adjustRightInd/>
        <w:snapToGrid/>
        <w:spacing w:line="540" w:lineRule="exact"/>
        <w:ind w:left="1" w:right="449" w:rightChars="214" w:firstLine="640" w:firstLineChars="200"/>
        <w:jc w:val="both"/>
        <w:textAlignment w:val="auto"/>
        <w:rPr>
          <w:rFonts w:hint="eastAsia" w:ascii="仿宋" w:hAnsi="仿宋" w:eastAsia="仿宋" w:cs="仿宋"/>
          <w:sz w:val="32"/>
          <w:szCs w:val="32"/>
          <w:lang w:val="en-US" w:eastAsia="zh-CN"/>
        </w:rPr>
      </w:pPr>
    </w:p>
    <w:p w14:paraId="338C3963">
      <w:pPr>
        <w:keepNext w:val="0"/>
        <w:keepLines w:val="0"/>
        <w:pageBreakBefore w:val="0"/>
        <w:widowControl w:val="0"/>
        <w:kinsoku/>
        <w:wordWrap/>
        <w:overflowPunct/>
        <w:topLinePunct w:val="0"/>
        <w:autoSpaceDE/>
        <w:autoSpaceDN/>
        <w:bidi w:val="0"/>
        <w:adjustRightInd/>
        <w:snapToGrid/>
        <w:spacing w:line="540" w:lineRule="exact"/>
        <w:ind w:right="449" w:rightChars="214"/>
        <w:jc w:val="both"/>
        <w:textAlignment w:val="auto"/>
        <w:rPr>
          <w:rFonts w:hint="eastAsia" w:ascii="仿宋" w:hAnsi="仿宋" w:eastAsia="仿宋" w:cs="仿宋"/>
          <w:sz w:val="32"/>
          <w:szCs w:val="32"/>
          <w:lang w:val="en-US"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2025年赣州市南康区赞贤小学“三公”经费一般公共预算安排0.67万元，较少年增加0万元，其中：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bCs/>
          <w:sz w:val="32"/>
          <w:szCs w:val="32"/>
          <w:lang w:eastAsia="zh-CN"/>
        </w:rPr>
        <w:t>无出国（境）安排</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公务接待0.67万元，比上年增加0万元，主要原因是：</w:t>
      </w:r>
      <w:r>
        <w:rPr>
          <w:rFonts w:hint="eastAsia" w:ascii="仿宋" w:hAnsi="仿宋" w:eastAsia="仿宋" w:cs="仿宋"/>
          <w:bCs/>
          <w:sz w:val="32"/>
          <w:szCs w:val="32"/>
          <w:lang w:eastAsia="zh-CN"/>
        </w:rPr>
        <w:t>勤俭节约，压缩开支</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bCs/>
          <w:sz w:val="32"/>
          <w:szCs w:val="32"/>
          <w:lang w:val="en-US" w:eastAsia="zh-CN"/>
        </w:rPr>
        <w:t>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公务用车购置0万元，比上年增0万元，主要原因是：2025年</w:t>
      </w:r>
      <w:r>
        <w:rPr>
          <w:rFonts w:hint="eastAsia" w:ascii="仿宋" w:hAnsi="仿宋" w:eastAsia="仿宋" w:cs="仿宋"/>
          <w:bCs/>
          <w:sz w:val="32"/>
          <w:szCs w:val="32"/>
          <w:lang w:val="en-US" w:eastAsia="zh-CN"/>
        </w:rPr>
        <w:t>我单位暂无计划购置公务车辆</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both"/>
        <w:textAlignment w:val="auto"/>
        <w:outlineLvl w:val="9"/>
        <w:rPr>
          <w:rFonts w:hint="eastAsia" w:ascii="仿宋" w:hAnsi="仿宋" w:eastAsia="仿宋" w:cs="仿宋"/>
          <w:kern w:val="2"/>
          <w:sz w:val="32"/>
          <w:szCs w:val="30"/>
          <w:lang w:eastAsia="zh-CN"/>
        </w:rPr>
      </w:pPr>
    </w:p>
    <w:p w14:paraId="1ED0A4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both"/>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both"/>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1064DF03">
      <w:pPr>
        <w:ind w:firstLine="630"/>
        <w:jc w:val="both"/>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39E7B541">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对部门预算中涉及的支出功能分类科目（明细到项级），结合部门实际，参照《2023年政府收支分类科目》的规范说明进行解释。</w:t>
      </w:r>
    </w:p>
    <w:p w14:paraId="15045294">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（一）行政运行：</w:t>
      </w:r>
      <w:r>
        <w:rPr>
          <w:rFonts w:hint="eastAsia" w:ascii="仿宋_GB2312" w:hAnsi="仿宋_GB2312" w:eastAsia="仿宋_GB2312" w:cs="仿宋_GB2312"/>
          <w:sz w:val="32"/>
          <w:szCs w:val="32"/>
          <w:lang w:eastAsia="zh-CN"/>
        </w:rPr>
        <w:t>反映行政单位（包括实行公务员管理的事业单位）的基本支出。</w:t>
      </w:r>
    </w:p>
    <w:p w14:paraId="13C5F90C">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（二）一般行政管理事务：</w:t>
      </w:r>
      <w:r>
        <w:rPr>
          <w:rFonts w:hint="eastAsia" w:ascii="仿宋_GB2312" w:hAnsi="仿宋_GB2312" w:eastAsia="仿宋_GB2312" w:cs="仿宋_GB2312"/>
          <w:sz w:val="32"/>
          <w:szCs w:val="32"/>
          <w:lang w:eastAsia="zh-CN"/>
        </w:rPr>
        <w:t>反映行政单位（包括实行公务员管理的事业单位）未单独设置项级科目的其他项目支出。</w:t>
      </w:r>
    </w:p>
    <w:p w14:paraId="499CDF50">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（三）事业运行：</w:t>
      </w:r>
      <w:r>
        <w:rPr>
          <w:rFonts w:hint="eastAsia" w:ascii="仿宋_GB2312" w:hAnsi="仿宋_GB2312" w:eastAsia="仿宋_GB2312" w:cs="仿宋_GB2312"/>
          <w:sz w:val="32"/>
          <w:szCs w:val="32"/>
          <w:lang w:eastAsia="zh-CN"/>
        </w:rPr>
        <w:t>反映事业单位的基本支出。</w:t>
      </w:r>
    </w:p>
    <w:p w14:paraId="11D295A6">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（四）机关事业单位基本养老保险缴费支出：</w:t>
      </w:r>
      <w:r>
        <w:rPr>
          <w:rFonts w:hint="eastAsia" w:ascii="仿宋_GB2312" w:hAnsi="仿宋_GB2312" w:eastAsia="仿宋_GB2312" w:cs="仿宋_GB2312"/>
          <w:sz w:val="32"/>
          <w:szCs w:val="32"/>
          <w:lang w:eastAsia="zh-CN"/>
        </w:rPr>
        <w:t>反映机关事业单位实施养老保险制度由单位缴纳的基本养老保险费的支出。</w:t>
      </w:r>
    </w:p>
    <w:p w14:paraId="05D0A555">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（五）行政单位医疗：</w:t>
      </w:r>
      <w:r>
        <w:rPr>
          <w:rFonts w:hint="eastAsia" w:ascii="仿宋_GB2312" w:hAnsi="仿宋_GB2312" w:eastAsia="仿宋_GB2312" w:cs="仿宋_GB2312"/>
          <w:sz w:val="32"/>
          <w:szCs w:val="32"/>
          <w:lang w:eastAsia="zh-CN"/>
        </w:rPr>
        <w:t>反映财政部门安排的行政单位（包括实行公务员管理的事业单位）基本医疗保险缴费经费。</w:t>
      </w:r>
    </w:p>
    <w:p w14:paraId="21070F0D">
      <w:pPr>
        <w:ind w:firstLine="643" w:firstLineChars="200"/>
        <w:jc w:val="both"/>
        <w:rPr>
          <w:rFonts w:hint="eastAsia" w:ascii="仿宋_GB2312" w:hAnsi="仿宋_GB2312" w:eastAsia="仿宋_GB2312"/>
          <w:color w:val="FF0000"/>
          <w:kern w:val="0"/>
          <w:sz w:val="32"/>
          <w:szCs w:val="32"/>
        </w:rPr>
      </w:pPr>
      <w:r>
        <w:rPr>
          <w:rFonts w:hint="eastAsia" w:ascii="仿宋_GB2312" w:hAnsi="仿宋_GB2312" w:eastAsia="仿宋_GB2312" w:cs="仿宋_GB2312"/>
          <w:b/>
          <w:bCs/>
          <w:sz w:val="32"/>
          <w:szCs w:val="32"/>
          <w:lang w:eastAsia="zh-CN"/>
        </w:rPr>
        <w:t>（六）事业单位医疗：</w:t>
      </w:r>
      <w:r>
        <w:rPr>
          <w:rFonts w:hint="eastAsia" w:ascii="仿宋_GB2312" w:hAnsi="仿宋_GB2312" w:eastAsia="仿宋_GB2312" w:cs="仿宋_GB2312"/>
          <w:sz w:val="32"/>
          <w:szCs w:val="32"/>
          <w:lang w:eastAsia="zh-CN"/>
        </w:rPr>
        <w:t>反映财政部门安排的事业单位基本医疗保险缴费经费。</w:t>
      </w:r>
    </w:p>
    <w:p w14:paraId="46000203">
      <w:pPr>
        <w:ind w:firstLine="630"/>
        <w:jc w:val="both"/>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B7CE6D9">
      <w:pPr>
        <w:ind w:firstLine="600"/>
        <w:jc w:val="both"/>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C48E33E">
      <w:pPr>
        <w:ind w:firstLine="600"/>
        <w:jc w:val="both"/>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5DB53F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8C8F5"/>
    <w:multiLevelType w:val="singleLevel"/>
    <w:tmpl w:val="49A8C8F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0FD25804"/>
    <w:rsid w:val="12F0682B"/>
    <w:rsid w:val="1AA1373B"/>
    <w:rsid w:val="1D65246A"/>
    <w:rsid w:val="20D02B5C"/>
    <w:rsid w:val="216B3C95"/>
    <w:rsid w:val="23131BC8"/>
    <w:rsid w:val="29E63DBE"/>
    <w:rsid w:val="2D9F180A"/>
    <w:rsid w:val="2ED52685"/>
    <w:rsid w:val="361F021D"/>
    <w:rsid w:val="368C578D"/>
    <w:rsid w:val="377E58E4"/>
    <w:rsid w:val="3A331955"/>
    <w:rsid w:val="3B7D5295"/>
    <w:rsid w:val="3C635260"/>
    <w:rsid w:val="3E850D82"/>
    <w:rsid w:val="3EE071D9"/>
    <w:rsid w:val="3F8A2AD8"/>
    <w:rsid w:val="40A35E12"/>
    <w:rsid w:val="4238609D"/>
    <w:rsid w:val="455A06DD"/>
    <w:rsid w:val="4C6139E1"/>
    <w:rsid w:val="50622BE2"/>
    <w:rsid w:val="515E0E0C"/>
    <w:rsid w:val="598F4A10"/>
    <w:rsid w:val="5FB40CBE"/>
    <w:rsid w:val="691507DE"/>
    <w:rsid w:val="6BCC2FDC"/>
    <w:rsid w:val="733F28AB"/>
    <w:rsid w:val="76A038F3"/>
    <w:rsid w:val="7BDD0BEA"/>
    <w:rsid w:val="7DEB35B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5857</Words>
  <Characters>6182</Characters>
  <Lines>0</Lines>
  <Paragraphs>0</Paragraphs>
  <TotalTime>12</TotalTime>
  <ScaleCrop>false</ScaleCrop>
  <LinksUpToDate>false</LinksUpToDate>
  <CharactersWithSpaces>6268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瞬间的微笑</cp:lastModifiedBy>
  <cp:lastPrinted>2025-02-06T08:29:00Z</cp:lastPrinted>
  <dcterms:modified xsi:type="dcterms:W3CDTF">2025-02-06T08:32:28Z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F3C01CE4AF0C4CE58D8ECC31CCB8A785_13</vt:lpwstr>
  </property>
  <property fmtid="{D5CDD505-2E9C-101B-9397-08002B2CF9AE}" pid="4" name="KSOTemplateDocerSaveRecord">
    <vt:lpwstr>eyJoZGlkIjoiNjM4MDlmMzllMjE3YWQ1OTdjZTc0NmUxYzExZWE1ZTEiLCJ1c2VySWQiOiI3NTcyODA2NDIifQ==</vt:lpwstr>
  </property>
</Properties>
</file>