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color w:val="auto"/>
          <w:sz w:val="44"/>
          <w:szCs w:val="44"/>
          <w:lang w:eastAsia="zh-CN"/>
        </w:rPr>
      </w:pPr>
      <w:r>
        <w:rPr>
          <w:rFonts w:hint="eastAsia" w:ascii="方正小标宋简体" w:hAnsi="仿宋_GB2312" w:eastAsia="方正小标宋简体"/>
          <w:color w:val="auto"/>
          <w:sz w:val="44"/>
          <w:szCs w:val="44"/>
        </w:rPr>
        <w:t>赣州市南康区</w:t>
      </w:r>
      <w:r>
        <w:rPr>
          <w:rFonts w:hint="eastAsia" w:ascii="方正小标宋简体" w:hAnsi="仿宋_GB2312" w:eastAsia="方正小标宋简体"/>
          <w:color w:val="auto"/>
          <w:sz w:val="44"/>
          <w:szCs w:val="44"/>
          <w:lang w:val="en-US" w:eastAsia="zh-CN"/>
        </w:rPr>
        <w:t>唐江中学</w:t>
      </w:r>
      <w:r>
        <w:rPr>
          <w:rFonts w:hint="eastAsia" w:ascii="方正小标宋简体" w:hAnsi="仿宋_GB2312" w:eastAsia="方正小标宋简体"/>
          <w:color w:val="auto"/>
          <w:sz w:val="44"/>
          <w:szCs w:val="44"/>
        </w:rPr>
        <w:t>202</w:t>
      </w:r>
      <w:r>
        <w:rPr>
          <w:rFonts w:hint="eastAsia" w:ascii="方正小标宋简体" w:hAnsi="仿宋_GB2312" w:eastAsia="方正小标宋简体"/>
          <w:color w:val="auto"/>
          <w:sz w:val="44"/>
          <w:szCs w:val="44"/>
          <w:lang w:val="en-US" w:eastAsia="zh-CN"/>
        </w:rPr>
        <w:t>5</w:t>
      </w:r>
      <w:r>
        <w:rPr>
          <w:rFonts w:hint="eastAsia" w:ascii="方正小标宋简体" w:hAnsi="仿宋_GB2312" w:eastAsia="方正小标宋简体"/>
          <w:color w:val="auto"/>
          <w:sz w:val="44"/>
          <w:szCs w:val="44"/>
        </w:rPr>
        <w:t>年</w:t>
      </w:r>
      <w:r>
        <w:rPr>
          <w:rFonts w:hint="eastAsia" w:ascii="方正小标宋简体" w:hAnsi="仿宋_GB2312" w:eastAsia="方正小标宋简体"/>
          <w:color w:val="auto"/>
          <w:sz w:val="44"/>
          <w:szCs w:val="44"/>
          <w:lang w:eastAsia="zh-CN"/>
        </w:rPr>
        <w:t>单位预算</w:t>
      </w:r>
    </w:p>
    <w:p w14:paraId="6AE4129C">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目    录</w:t>
      </w:r>
    </w:p>
    <w:p w14:paraId="485534E9">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auto"/>
          <w:sz w:val="32"/>
          <w:szCs w:val="32"/>
        </w:rPr>
      </w:pPr>
      <w:r>
        <w:rPr>
          <w:rFonts w:hint="eastAsia" w:ascii="楷体" w:hAnsi="楷体" w:eastAsia="楷体" w:cs="楷体"/>
          <w:b/>
          <w:bCs/>
          <w:color w:val="auto"/>
          <w:sz w:val="32"/>
          <w:szCs w:val="32"/>
        </w:rPr>
        <w:t xml:space="preserve">第一部分  </w:t>
      </w:r>
      <w:r>
        <w:rPr>
          <w:rFonts w:hint="eastAsia" w:ascii="楷体" w:hAnsi="楷体" w:eastAsia="楷体" w:cs="楷体"/>
          <w:b/>
          <w:bCs/>
          <w:color w:val="auto"/>
          <w:sz w:val="32"/>
          <w:szCs w:val="32"/>
          <w:lang w:eastAsia="zh-CN"/>
        </w:rPr>
        <w:t>赣州市南康区</w:t>
      </w:r>
      <w:r>
        <w:rPr>
          <w:rFonts w:hint="eastAsia" w:ascii="楷体" w:hAnsi="楷体" w:eastAsia="楷体" w:cs="楷体"/>
          <w:b/>
          <w:bCs/>
          <w:color w:val="auto"/>
          <w:sz w:val="32"/>
          <w:szCs w:val="32"/>
          <w:lang w:val="en-US" w:eastAsia="zh-CN"/>
        </w:rPr>
        <w:t>唐江中学</w:t>
      </w:r>
      <w:r>
        <w:rPr>
          <w:rFonts w:hint="eastAsia" w:ascii="楷体" w:hAnsi="楷体" w:eastAsia="楷体" w:cs="楷体"/>
          <w:b/>
          <w:bCs/>
          <w:color w:val="auto"/>
          <w:sz w:val="32"/>
          <w:szCs w:val="32"/>
        </w:rPr>
        <w:t>概况</w:t>
      </w:r>
      <w:r>
        <w:rPr>
          <w:rFonts w:ascii="仿宋_GB2312" w:eastAsia="仿宋_GB2312"/>
          <w:b/>
          <w:bCs/>
          <w:color w:val="auto"/>
          <w:sz w:val="32"/>
          <w:szCs w:val="32"/>
        </w:rPr>
        <w:tab/>
      </w:r>
    </w:p>
    <w:p w14:paraId="14555DFD">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一、部门主要职责</w:t>
      </w:r>
    </w:p>
    <w:p w14:paraId="302CBAE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lang w:eastAsia="zh-CN"/>
        </w:rPr>
      </w:pPr>
      <w:r>
        <w:rPr>
          <w:rStyle w:val="8"/>
          <w:rFonts w:hint="eastAsia" w:ascii="楷体" w:hAnsi="楷体" w:eastAsia="楷体" w:cs="楷体"/>
          <w:b/>
          <w:color w:val="auto"/>
          <w:sz w:val="32"/>
          <w:szCs w:val="32"/>
          <w:lang w:eastAsia="zh-CN"/>
        </w:rPr>
        <w:t>第二部分  赣州市南康区</w:t>
      </w:r>
      <w:r>
        <w:rPr>
          <w:rFonts w:hint="eastAsia" w:ascii="楷体" w:hAnsi="楷体" w:eastAsia="楷体" w:cs="楷体"/>
          <w:b/>
          <w:bCs/>
          <w:color w:val="auto"/>
          <w:sz w:val="32"/>
          <w:szCs w:val="32"/>
          <w:lang w:val="en-US" w:eastAsia="zh-CN"/>
        </w:rPr>
        <w:t>唐江中学</w:t>
      </w:r>
      <w:r>
        <w:rPr>
          <w:rStyle w:val="8"/>
          <w:rFonts w:hint="eastAsia" w:ascii="楷体" w:hAnsi="楷体" w:eastAsia="楷体" w:cs="楷体"/>
          <w:b/>
          <w:color w:val="auto"/>
          <w:sz w:val="32"/>
          <w:szCs w:val="32"/>
          <w:lang w:eastAsia="zh-CN"/>
        </w:rPr>
        <w:t>202</w:t>
      </w:r>
      <w:r>
        <w:rPr>
          <w:rStyle w:val="8"/>
          <w:rFonts w:hint="eastAsia" w:ascii="楷体" w:hAnsi="楷体" w:eastAsia="楷体" w:cs="楷体"/>
          <w:b/>
          <w:color w:val="auto"/>
          <w:sz w:val="32"/>
          <w:szCs w:val="32"/>
          <w:lang w:val="en-US" w:eastAsia="zh-CN"/>
        </w:rPr>
        <w:t>5</w:t>
      </w:r>
      <w:r>
        <w:rPr>
          <w:rStyle w:val="8"/>
          <w:rFonts w:hint="eastAsia" w:ascii="楷体" w:hAnsi="楷体" w:eastAsia="楷体" w:cs="楷体"/>
          <w:b/>
          <w:color w:val="auto"/>
          <w:sz w:val="32"/>
          <w:szCs w:val="32"/>
          <w:lang w:eastAsia="zh-CN"/>
        </w:rPr>
        <w:t>年部门预算表</w:t>
      </w:r>
    </w:p>
    <w:p w14:paraId="79B474E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一、《收支预算总表》</w:t>
      </w:r>
    </w:p>
    <w:p w14:paraId="7D676EC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二、《部门收入总表》</w:t>
      </w:r>
    </w:p>
    <w:p w14:paraId="2DEC1DC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三、《部门支出总表》</w:t>
      </w:r>
    </w:p>
    <w:p w14:paraId="0808FD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四、《财政拨款收支总表》</w:t>
      </w:r>
    </w:p>
    <w:p w14:paraId="55B7ADE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五、《一般公共预算支出表》</w:t>
      </w:r>
    </w:p>
    <w:p w14:paraId="3A868F6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六、《一般公共预算基本支出表》</w:t>
      </w:r>
    </w:p>
    <w:p w14:paraId="1BA4C90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七、《一般公共预算“三公”经费支出表》</w:t>
      </w:r>
    </w:p>
    <w:p w14:paraId="0BDB17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八、《政府性基金预算支出表》</w:t>
      </w:r>
    </w:p>
    <w:p w14:paraId="312B8AC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九</w:t>
      </w:r>
      <w:r>
        <w:rPr>
          <w:rFonts w:hint="eastAsia" w:ascii="仿宋" w:hAnsi="仿宋" w:eastAsia="仿宋" w:cs="仿宋"/>
          <w:color w:val="auto"/>
          <w:kern w:val="2"/>
          <w:sz w:val="32"/>
          <w:szCs w:val="30"/>
          <w:lang w:eastAsia="zh-CN"/>
        </w:rPr>
        <w:t>、《国有资本经营预算支出表》</w:t>
      </w:r>
    </w:p>
    <w:p w14:paraId="0F8B07C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color w:val="auto"/>
          <w:kern w:val="2"/>
          <w:sz w:val="32"/>
          <w:szCs w:val="30"/>
        </w:rPr>
      </w:pPr>
      <w:r>
        <w:rPr>
          <w:rFonts w:hint="eastAsia" w:ascii="仿宋" w:hAnsi="仿宋" w:eastAsia="仿宋" w:cs="仿宋"/>
          <w:color w:val="auto"/>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lang w:eastAsia="zh-CN"/>
        </w:rPr>
      </w:pPr>
      <w:r>
        <w:rPr>
          <w:rStyle w:val="8"/>
          <w:rFonts w:hint="eastAsia" w:ascii="楷体" w:hAnsi="楷体" w:eastAsia="楷体" w:cs="楷体"/>
          <w:b/>
          <w:color w:val="auto"/>
          <w:sz w:val="32"/>
          <w:szCs w:val="32"/>
          <w:lang w:eastAsia="zh-CN"/>
        </w:rPr>
        <w:t>第三部分 赣州市南康区</w:t>
      </w:r>
      <w:r>
        <w:rPr>
          <w:rFonts w:hint="eastAsia" w:ascii="楷体" w:hAnsi="楷体" w:eastAsia="楷体" w:cs="楷体"/>
          <w:b/>
          <w:bCs/>
          <w:color w:val="auto"/>
          <w:sz w:val="32"/>
          <w:szCs w:val="32"/>
          <w:lang w:val="en-US" w:eastAsia="zh-CN"/>
        </w:rPr>
        <w:t>唐江中学</w:t>
      </w:r>
      <w:r>
        <w:rPr>
          <w:rStyle w:val="8"/>
          <w:rFonts w:hint="eastAsia" w:ascii="楷体" w:hAnsi="楷体" w:eastAsia="楷体" w:cs="楷体"/>
          <w:b/>
          <w:color w:val="auto"/>
          <w:sz w:val="32"/>
          <w:szCs w:val="32"/>
          <w:lang w:eastAsia="zh-CN"/>
        </w:rPr>
        <w:t>202</w:t>
      </w:r>
      <w:r>
        <w:rPr>
          <w:rStyle w:val="8"/>
          <w:rFonts w:hint="eastAsia" w:ascii="楷体" w:hAnsi="楷体" w:eastAsia="楷体" w:cs="楷体"/>
          <w:b/>
          <w:color w:val="auto"/>
          <w:sz w:val="32"/>
          <w:szCs w:val="32"/>
          <w:lang w:val="en-US" w:eastAsia="zh-CN"/>
        </w:rPr>
        <w:t>5</w:t>
      </w:r>
      <w:r>
        <w:rPr>
          <w:rStyle w:val="8"/>
          <w:rFonts w:hint="eastAsia" w:ascii="楷体" w:hAnsi="楷体" w:eastAsia="楷体" w:cs="楷体"/>
          <w:b/>
          <w:color w:val="auto"/>
          <w:sz w:val="32"/>
          <w:szCs w:val="32"/>
          <w:lang w:eastAsia="zh-CN"/>
        </w:rPr>
        <w:t>年部门预算情况说明</w:t>
      </w:r>
    </w:p>
    <w:p w14:paraId="2B0CC3A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年部门预算收支情况说明</w:t>
      </w:r>
    </w:p>
    <w:p w14:paraId="3157C1E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年“三公”经费预算情况说明</w:t>
      </w:r>
    </w:p>
    <w:p w14:paraId="33F0A58A">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lang w:eastAsia="zh-CN"/>
        </w:rPr>
      </w:pPr>
      <w:r>
        <w:rPr>
          <w:rStyle w:val="8"/>
          <w:rFonts w:hint="eastAsia" w:ascii="楷体" w:hAnsi="楷体" w:eastAsia="楷体" w:cs="楷体"/>
          <w:b/>
          <w:color w:val="auto"/>
          <w:sz w:val="32"/>
          <w:szCs w:val="32"/>
          <w:lang w:eastAsia="zh-CN"/>
        </w:rPr>
        <w:t xml:space="preserve"> 名词解释</w:t>
      </w:r>
    </w:p>
    <w:p w14:paraId="37752A56">
      <w:pPr>
        <w:keepNext w:val="0"/>
        <w:keepLines w:val="0"/>
        <w:pageBreakBefore w:val="0"/>
        <w:numPr>
          <w:ilvl w:val="0"/>
          <w:numId w:val="0"/>
        </w:numPr>
        <w:kinsoku/>
        <w:wordWrap/>
        <w:overflowPunct/>
        <w:topLinePunct w:val="0"/>
        <w:autoSpaceDE/>
        <w:autoSpaceDN/>
        <w:bidi w:val="0"/>
        <w:spacing w:line="520" w:lineRule="exact"/>
        <w:textAlignment w:val="auto"/>
        <w:rPr>
          <w:rStyle w:val="8"/>
          <w:rFonts w:hint="eastAsia" w:ascii="楷体" w:hAnsi="楷体" w:eastAsia="楷体" w:cs="楷体"/>
          <w:b/>
          <w:color w:val="auto"/>
          <w:sz w:val="32"/>
          <w:szCs w:val="32"/>
          <w:lang w:eastAsia="zh-CN"/>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0"/>
        </w:rPr>
        <w:t xml:space="preserve">第一部分  </w:t>
      </w:r>
      <w:r>
        <w:rPr>
          <w:rFonts w:hint="eastAsia" w:ascii="黑体" w:hAnsi="黑体" w:eastAsia="黑体" w:cs="黑体"/>
          <w:b w:val="0"/>
          <w:bCs/>
          <w:color w:val="auto"/>
          <w:sz w:val="32"/>
          <w:szCs w:val="32"/>
        </w:rPr>
        <w:t>赣州市南康区</w:t>
      </w:r>
      <w:r>
        <w:rPr>
          <w:rFonts w:hint="eastAsia" w:ascii="黑体" w:hAnsi="黑体" w:eastAsia="黑体" w:cs="黑体"/>
          <w:b w:val="0"/>
          <w:bCs/>
          <w:color w:val="auto"/>
          <w:sz w:val="32"/>
          <w:szCs w:val="32"/>
          <w:lang w:val="en-US" w:eastAsia="zh-CN"/>
        </w:rPr>
        <w:t>唐江中学</w:t>
      </w:r>
      <w:r>
        <w:rPr>
          <w:rFonts w:hint="eastAsia" w:ascii="黑体" w:hAnsi="黑体" w:eastAsia="黑体" w:cs="黑体"/>
          <w:b w:val="0"/>
          <w:bCs/>
          <w:color w:val="auto"/>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olor w:val="auto"/>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一、主要职责</w:t>
      </w:r>
    </w:p>
    <w:p w14:paraId="1597CB0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唐江中学主要职责是：实施高中学历教育，促进基础教育发展。全面贯彻党的教育方针，落实立德树人根本任务，深入开展思政课，强化理想信念教育，认真落实关于新时代推进普通高中育人方式改革的实施意见，不断创新教育管理机制，提高教学水平，促进学校和谐、健康发展，为办好人民满意的教育而不懈努力。</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二、机构设置及人员情况</w:t>
      </w:r>
    </w:p>
    <w:p w14:paraId="60F30B3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color w:val="auto"/>
          <w:sz w:val="32"/>
          <w:szCs w:val="30"/>
        </w:rPr>
      </w:pPr>
      <w:r>
        <w:rPr>
          <w:rFonts w:hint="eastAsia" w:ascii="仿宋" w:hAnsi="仿宋" w:eastAsia="仿宋" w:cs="仿宋"/>
          <w:color w:val="auto"/>
          <w:kern w:val="2"/>
          <w:sz w:val="32"/>
          <w:szCs w:val="30"/>
          <w:lang w:eastAsia="zh-CN"/>
        </w:rPr>
        <w:t>2023年赣州市南康区唐江中学内设处室10个，包括：党政办公室、行政办公室、艺体中心、信息技术中心、教研处、学生资助中心、教导处、政治处、总务处、财务室。本单位编制人数小计</w:t>
      </w:r>
      <w:r>
        <w:rPr>
          <w:rFonts w:hint="eastAsia" w:ascii="仿宋" w:hAnsi="仿宋" w:eastAsia="仿宋" w:cs="仿宋"/>
          <w:color w:val="auto"/>
          <w:kern w:val="2"/>
          <w:sz w:val="32"/>
          <w:szCs w:val="30"/>
          <w:lang w:val="en-US" w:eastAsia="zh-CN"/>
        </w:rPr>
        <w:t>234</w:t>
      </w:r>
      <w:r>
        <w:rPr>
          <w:rFonts w:hint="eastAsia" w:ascii="仿宋" w:hAnsi="仿宋" w:eastAsia="仿宋" w:cs="仿宋"/>
          <w:color w:val="auto"/>
          <w:kern w:val="2"/>
          <w:sz w:val="32"/>
          <w:szCs w:val="30"/>
          <w:lang w:eastAsia="zh-CN"/>
        </w:rPr>
        <w:t>人，其中：行政编制人数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人，全额补助事业编制人数</w:t>
      </w:r>
      <w:r>
        <w:rPr>
          <w:rFonts w:hint="eastAsia" w:ascii="仿宋" w:hAnsi="仿宋" w:eastAsia="仿宋" w:cs="仿宋"/>
          <w:color w:val="auto"/>
          <w:kern w:val="2"/>
          <w:sz w:val="32"/>
          <w:szCs w:val="30"/>
          <w:lang w:val="en-US" w:eastAsia="zh-CN"/>
        </w:rPr>
        <w:t>234</w:t>
      </w:r>
      <w:r>
        <w:rPr>
          <w:rFonts w:hint="eastAsia" w:ascii="仿宋" w:hAnsi="仿宋" w:eastAsia="仿宋" w:cs="仿宋"/>
          <w:color w:val="auto"/>
          <w:kern w:val="2"/>
          <w:sz w:val="32"/>
          <w:szCs w:val="30"/>
          <w:lang w:eastAsia="zh-CN"/>
        </w:rPr>
        <w:t>人，自收自支编制人数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人。本单位实有人数小计</w:t>
      </w:r>
      <w:r>
        <w:rPr>
          <w:rFonts w:hint="eastAsia" w:ascii="仿宋" w:hAnsi="仿宋" w:eastAsia="仿宋" w:cs="仿宋"/>
          <w:color w:val="auto"/>
          <w:kern w:val="2"/>
          <w:sz w:val="32"/>
          <w:szCs w:val="30"/>
          <w:lang w:val="en-US" w:eastAsia="zh-CN"/>
        </w:rPr>
        <w:t>306</w:t>
      </w:r>
      <w:r>
        <w:rPr>
          <w:rFonts w:hint="eastAsia" w:ascii="仿宋" w:hAnsi="仿宋" w:eastAsia="仿宋" w:cs="仿宋"/>
          <w:color w:val="auto"/>
          <w:kern w:val="2"/>
          <w:sz w:val="32"/>
          <w:szCs w:val="30"/>
          <w:lang w:eastAsia="zh-CN"/>
        </w:rPr>
        <w:t>人，其中：在职人数小计</w:t>
      </w:r>
      <w:r>
        <w:rPr>
          <w:rFonts w:hint="eastAsia" w:ascii="仿宋" w:hAnsi="仿宋" w:eastAsia="仿宋" w:cs="仿宋"/>
          <w:color w:val="auto"/>
          <w:kern w:val="2"/>
          <w:sz w:val="32"/>
          <w:szCs w:val="30"/>
          <w:lang w:val="en-US" w:eastAsia="zh-CN"/>
        </w:rPr>
        <w:t>229</w:t>
      </w:r>
      <w:r>
        <w:rPr>
          <w:rFonts w:hint="eastAsia" w:ascii="仿宋" w:hAnsi="仿宋" w:eastAsia="仿宋" w:cs="仿宋"/>
          <w:color w:val="auto"/>
          <w:kern w:val="2"/>
          <w:sz w:val="32"/>
          <w:szCs w:val="30"/>
          <w:lang w:eastAsia="zh-CN"/>
        </w:rPr>
        <w:t>人，行政在职人数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人，参照公务员管理的事业单位在职人数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人，全额补助事业在职人数</w:t>
      </w:r>
      <w:r>
        <w:rPr>
          <w:rFonts w:hint="eastAsia" w:ascii="仿宋" w:hAnsi="仿宋" w:eastAsia="仿宋" w:cs="仿宋"/>
          <w:color w:val="auto"/>
          <w:kern w:val="2"/>
          <w:sz w:val="32"/>
          <w:szCs w:val="30"/>
          <w:lang w:val="en-US" w:eastAsia="zh-CN"/>
        </w:rPr>
        <w:t>229</w:t>
      </w:r>
      <w:r>
        <w:rPr>
          <w:rFonts w:hint="eastAsia" w:ascii="仿宋" w:hAnsi="仿宋" w:eastAsia="仿宋" w:cs="仿宋"/>
          <w:color w:val="auto"/>
          <w:kern w:val="2"/>
          <w:sz w:val="32"/>
          <w:szCs w:val="30"/>
          <w:lang w:eastAsia="zh-CN"/>
        </w:rPr>
        <w:t>人。离休人数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人，退休人数</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人，退职人数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人，遗属人数</w:t>
      </w:r>
      <w:r>
        <w:rPr>
          <w:rFonts w:hint="eastAsia" w:ascii="仿宋" w:hAnsi="仿宋" w:eastAsia="仿宋" w:cs="仿宋"/>
          <w:color w:val="auto"/>
          <w:kern w:val="2"/>
          <w:sz w:val="32"/>
          <w:szCs w:val="30"/>
          <w:lang w:val="en-US" w:eastAsia="zh-CN"/>
        </w:rPr>
        <w:t>12</w:t>
      </w:r>
      <w:r>
        <w:rPr>
          <w:rFonts w:hint="eastAsia" w:ascii="仿宋" w:hAnsi="仿宋" w:eastAsia="仿宋" w:cs="仿宋"/>
          <w:color w:val="auto"/>
          <w:kern w:val="2"/>
          <w:sz w:val="32"/>
          <w:szCs w:val="30"/>
          <w:lang w:eastAsia="zh-CN"/>
        </w:rPr>
        <w:t>人。在校学生</w:t>
      </w:r>
      <w:r>
        <w:rPr>
          <w:rFonts w:hint="eastAsia" w:ascii="仿宋" w:hAnsi="仿宋" w:eastAsia="仿宋" w:cs="仿宋"/>
          <w:color w:val="auto"/>
          <w:kern w:val="2"/>
          <w:sz w:val="32"/>
          <w:szCs w:val="30"/>
          <w:lang w:val="en-US" w:eastAsia="zh-CN"/>
        </w:rPr>
        <w:t>2995</w:t>
      </w:r>
      <w:r>
        <w:rPr>
          <w:rFonts w:hint="eastAsia" w:ascii="仿宋" w:hAnsi="仿宋" w:eastAsia="仿宋" w:cs="仿宋"/>
          <w:color w:val="auto"/>
          <w:kern w:val="2"/>
          <w:sz w:val="32"/>
          <w:szCs w:val="30"/>
          <w:lang w:eastAsia="zh-CN"/>
        </w:rPr>
        <w:t>人。</w:t>
      </w: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lang w:eastAsia="zh-CN"/>
        </w:rPr>
      </w:pPr>
      <w:r>
        <w:rPr>
          <w:rFonts w:hint="eastAsia" w:ascii="黑体" w:hAnsi="黑体" w:eastAsia="黑体" w:cs="黑体"/>
          <w:b w:val="0"/>
          <w:bCs/>
          <w:color w:val="auto"/>
          <w:sz w:val="32"/>
          <w:szCs w:val="30"/>
        </w:rPr>
        <w:t xml:space="preserve">第二部分  </w:t>
      </w:r>
      <w:r>
        <w:rPr>
          <w:rFonts w:hint="eastAsia" w:ascii="黑体" w:hAnsi="黑体" w:eastAsia="黑体" w:cs="黑体"/>
          <w:b w:val="0"/>
          <w:bCs/>
          <w:color w:val="auto"/>
          <w:sz w:val="32"/>
          <w:szCs w:val="30"/>
          <w:lang w:val="en-US" w:eastAsia="zh-CN"/>
        </w:rPr>
        <w:t>2025</w:t>
      </w:r>
      <w:r>
        <w:rPr>
          <w:rFonts w:hint="eastAsia" w:ascii="黑体" w:hAnsi="黑体" w:eastAsia="黑体" w:cs="黑体"/>
          <w:b w:val="0"/>
          <w:bCs/>
          <w:color w:val="auto"/>
          <w:sz w:val="32"/>
          <w:szCs w:val="30"/>
        </w:rPr>
        <w:t>年</w:t>
      </w:r>
      <w:r>
        <w:rPr>
          <w:rFonts w:hint="eastAsia" w:ascii="黑体" w:hAnsi="黑体" w:eastAsia="黑体" w:cs="黑体"/>
          <w:b w:val="0"/>
          <w:bCs/>
          <w:color w:val="auto"/>
          <w:sz w:val="32"/>
          <w:szCs w:val="30"/>
          <w:lang w:eastAsia="zh-CN"/>
        </w:rPr>
        <w:t>单位预算表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440B58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E695A8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5840C5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C6936D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2D563B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1066C2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015594F">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4384" behindDoc="0" locked="0" layoutInCell="1" allowOverlap="1">
            <wp:simplePos x="0" y="0"/>
            <wp:positionH relativeFrom="column">
              <wp:posOffset>-460375</wp:posOffset>
            </wp:positionH>
            <wp:positionV relativeFrom="paragraph">
              <wp:posOffset>90170</wp:posOffset>
            </wp:positionV>
            <wp:extent cx="6273800" cy="8239760"/>
            <wp:effectExtent l="0" t="0" r="1270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273800" cy="8239760"/>
                    </a:xfrm>
                    <a:prstGeom prst="rect">
                      <a:avLst/>
                    </a:prstGeom>
                    <a:noFill/>
                    <a:ln>
                      <a:noFill/>
                    </a:ln>
                  </pic:spPr>
                </pic:pic>
              </a:graphicData>
            </a:graphic>
          </wp:anchor>
        </w:drawing>
      </w:r>
    </w:p>
    <w:p w14:paraId="41E5ADB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2EBD9B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ECC510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211A06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2667A0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1044C0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8E19C2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1E01A2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88D1E3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214536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D2CE82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20DC5F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16AE50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3E4DBB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BEA634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4A7060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E42303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11D6CB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21A9E8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E48532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6BE0E7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C67687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A6F959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3DDCA9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pPr>
    </w:p>
    <w:p w14:paraId="23134F50">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5408" behindDoc="0" locked="0" layoutInCell="1" allowOverlap="1">
            <wp:simplePos x="0" y="0"/>
            <wp:positionH relativeFrom="column">
              <wp:posOffset>41275</wp:posOffset>
            </wp:positionH>
            <wp:positionV relativeFrom="paragraph">
              <wp:posOffset>-557530</wp:posOffset>
            </wp:positionV>
            <wp:extent cx="8917305" cy="2316480"/>
            <wp:effectExtent l="0" t="0" r="17145" b="762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8917305" cy="2316480"/>
                    </a:xfrm>
                    <a:prstGeom prst="rect">
                      <a:avLst/>
                    </a:prstGeom>
                    <a:noFill/>
                    <a:ln>
                      <a:noFill/>
                    </a:ln>
                  </pic:spPr>
                </pic:pic>
              </a:graphicData>
            </a:graphic>
          </wp:anchor>
        </w:drawing>
      </w:r>
    </w:p>
    <w:p w14:paraId="1AD0FBD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10CAE8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9B0300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CF9A34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36376C6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9DD55F7">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6432" behindDoc="0" locked="0" layoutInCell="1" allowOverlap="1">
            <wp:simplePos x="0" y="0"/>
            <wp:positionH relativeFrom="column">
              <wp:posOffset>41910</wp:posOffset>
            </wp:positionH>
            <wp:positionV relativeFrom="paragraph">
              <wp:posOffset>21590</wp:posOffset>
            </wp:positionV>
            <wp:extent cx="8531225" cy="3341370"/>
            <wp:effectExtent l="0" t="0" r="3175" b="11430"/>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9"/>
                    <a:stretch>
                      <a:fillRect/>
                    </a:stretch>
                  </pic:blipFill>
                  <pic:spPr>
                    <a:xfrm>
                      <a:off x="0" y="0"/>
                      <a:ext cx="8531225" cy="3341370"/>
                    </a:xfrm>
                    <a:prstGeom prst="rect">
                      <a:avLst/>
                    </a:prstGeom>
                    <a:noFill/>
                    <a:ln>
                      <a:noFill/>
                    </a:ln>
                  </pic:spPr>
                </pic:pic>
              </a:graphicData>
            </a:graphic>
          </wp:anchor>
        </w:drawing>
      </w:r>
    </w:p>
    <w:p w14:paraId="39BDDD5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8102BA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E268C1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83E016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8661A4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232996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4346E7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7A9D38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BF7C27C">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7456" behindDoc="0" locked="0" layoutInCell="1" allowOverlap="1">
            <wp:simplePos x="0" y="0"/>
            <wp:positionH relativeFrom="column">
              <wp:posOffset>-88265</wp:posOffset>
            </wp:positionH>
            <wp:positionV relativeFrom="paragraph">
              <wp:posOffset>-245110</wp:posOffset>
            </wp:positionV>
            <wp:extent cx="8926195" cy="1558290"/>
            <wp:effectExtent l="0" t="0" r="8255" b="3810"/>
            <wp:wrapNone/>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a:stretch>
                      <a:fillRect/>
                    </a:stretch>
                  </pic:blipFill>
                  <pic:spPr>
                    <a:xfrm>
                      <a:off x="0" y="0"/>
                      <a:ext cx="8926195" cy="1558290"/>
                    </a:xfrm>
                    <a:prstGeom prst="rect">
                      <a:avLst/>
                    </a:prstGeom>
                    <a:noFill/>
                    <a:ln>
                      <a:noFill/>
                    </a:ln>
                  </pic:spPr>
                </pic:pic>
              </a:graphicData>
            </a:graphic>
          </wp:anchor>
        </w:drawing>
      </w:r>
    </w:p>
    <w:p w14:paraId="500453B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722F02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C88EB5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745093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42F3B93">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8480" behindDoc="0" locked="0" layoutInCell="1" allowOverlap="1">
            <wp:simplePos x="0" y="0"/>
            <wp:positionH relativeFrom="column">
              <wp:posOffset>-18415</wp:posOffset>
            </wp:positionH>
            <wp:positionV relativeFrom="paragraph">
              <wp:posOffset>104140</wp:posOffset>
            </wp:positionV>
            <wp:extent cx="8524240" cy="2506345"/>
            <wp:effectExtent l="0" t="0" r="10160" b="8255"/>
            <wp:wrapNone/>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1"/>
                    <a:stretch>
                      <a:fillRect/>
                    </a:stretch>
                  </pic:blipFill>
                  <pic:spPr>
                    <a:xfrm>
                      <a:off x="0" y="0"/>
                      <a:ext cx="8524240" cy="2506345"/>
                    </a:xfrm>
                    <a:prstGeom prst="rect">
                      <a:avLst/>
                    </a:prstGeom>
                    <a:noFill/>
                    <a:ln>
                      <a:noFill/>
                    </a:ln>
                  </pic:spPr>
                </pic:pic>
              </a:graphicData>
            </a:graphic>
          </wp:anchor>
        </w:drawing>
      </w:r>
    </w:p>
    <w:p w14:paraId="6FF823E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FB1203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3FF112E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BAC221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32862A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57BF83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4B8EF3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FB4962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AC3323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8D6F672">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9504" behindDoc="0" locked="0" layoutInCell="1" allowOverlap="1">
            <wp:simplePos x="0" y="0"/>
            <wp:positionH relativeFrom="column">
              <wp:posOffset>6350</wp:posOffset>
            </wp:positionH>
            <wp:positionV relativeFrom="paragraph">
              <wp:posOffset>-76835</wp:posOffset>
            </wp:positionV>
            <wp:extent cx="8529320" cy="4991100"/>
            <wp:effectExtent l="0" t="0" r="5080" b="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2"/>
                    <a:stretch>
                      <a:fillRect/>
                    </a:stretch>
                  </pic:blipFill>
                  <pic:spPr>
                    <a:xfrm>
                      <a:off x="0" y="0"/>
                      <a:ext cx="8529320" cy="4991100"/>
                    </a:xfrm>
                    <a:prstGeom prst="rect">
                      <a:avLst/>
                    </a:prstGeom>
                    <a:noFill/>
                    <a:ln>
                      <a:noFill/>
                    </a:ln>
                  </pic:spPr>
                </pic:pic>
              </a:graphicData>
            </a:graphic>
          </wp:anchor>
        </w:drawing>
      </w:r>
    </w:p>
    <w:p w14:paraId="09DE351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5B7F55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21848F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4144BA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2B4CA4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832301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70DCB7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1A6545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B5F94B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7A1077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3222857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6DA8A1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F72FA5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F68225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AE326BC">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0288" behindDoc="0" locked="0" layoutInCell="1" allowOverlap="1">
            <wp:simplePos x="0" y="0"/>
            <wp:positionH relativeFrom="column">
              <wp:posOffset>-275590</wp:posOffset>
            </wp:positionH>
            <wp:positionV relativeFrom="paragraph">
              <wp:posOffset>135255</wp:posOffset>
            </wp:positionV>
            <wp:extent cx="8938895" cy="1517015"/>
            <wp:effectExtent l="0" t="0" r="14605" b="6985"/>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8938895" cy="1517015"/>
                    </a:xfrm>
                    <a:prstGeom prst="rect">
                      <a:avLst/>
                    </a:prstGeom>
                    <a:noFill/>
                    <a:ln>
                      <a:noFill/>
                    </a:ln>
                  </pic:spPr>
                </pic:pic>
              </a:graphicData>
            </a:graphic>
          </wp:anchor>
        </w:drawing>
      </w:r>
    </w:p>
    <w:p w14:paraId="052EF84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3E01FD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3351220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F8451A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2E311C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946BBB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9FF5D2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61780E8">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1312" behindDoc="0" locked="0" layoutInCell="1" allowOverlap="1">
            <wp:simplePos x="0" y="0"/>
            <wp:positionH relativeFrom="column">
              <wp:posOffset>-320675</wp:posOffset>
            </wp:positionH>
            <wp:positionV relativeFrom="paragraph">
              <wp:posOffset>175260</wp:posOffset>
            </wp:positionV>
            <wp:extent cx="8999855" cy="1795145"/>
            <wp:effectExtent l="0" t="0" r="10795" b="14605"/>
            <wp:wrapNone/>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4"/>
                    <a:stretch>
                      <a:fillRect/>
                    </a:stretch>
                  </pic:blipFill>
                  <pic:spPr>
                    <a:xfrm>
                      <a:off x="0" y="0"/>
                      <a:ext cx="8999855" cy="1795145"/>
                    </a:xfrm>
                    <a:prstGeom prst="rect">
                      <a:avLst/>
                    </a:prstGeom>
                    <a:noFill/>
                    <a:ln>
                      <a:noFill/>
                    </a:ln>
                  </pic:spPr>
                </pic:pic>
              </a:graphicData>
            </a:graphic>
          </wp:anchor>
        </w:drawing>
      </w:r>
    </w:p>
    <w:p w14:paraId="1B996F0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D68206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D55A16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44C2BC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B955A3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64D01D9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AE9E771">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2336" behindDoc="0" locked="0" layoutInCell="1" allowOverlap="1">
            <wp:simplePos x="0" y="0"/>
            <wp:positionH relativeFrom="column">
              <wp:posOffset>-43180</wp:posOffset>
            </wp:positionH>
            <wp:positionV relativeFrom="paragraph">
              <wp:posOffset>-476885</wp:posOffset>
            </wp:positionV>
            <wp:extent cx="8818880" cy="1660525"/>
            <wp:effectExtent l="0" t="0" r="1270" b="15875"/>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5"/>
                    <a:stretch>
                      <a:fillRect/>
                    </a:stretch>
                  </pic:blipFill>
                  <pic:spPr>
                    <a:xfrm>
                      <a:off x="0" y="0"/>
                      <a:ext cx="8818880" cy="1660525"/>
                    </a:xfrm>
                    <a:prstGeom prst="rect">
                      <a:avLst/>
                    </a:prstGeom>
                    <a:noFill/>
                    <a:ln>
                      <a:noFill/>
                    </a:ln>
                  </pic:spPr>
                </pic:pic>
              </a:graphicData>
            </a:graphic>
          </wp:anchor>
        </w:drawing>
      </w:r>
    </w:p>
    <w:p w14:paraId="6543190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0AEDAF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1971B22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D51B1D7">
      <w:pPr>
        <w:keepNext w:val="0"/>
        <w:keepLines w:val="0"/>
        <w:pageBreakBefore w:val="0"/>
        <w:kinsoku/>
        <w:wordWrap/>
        <w:overflowPunct/>
        <w:topLinePunct w:val="0"/>
        <w:autoSpaceDE/>
        <w:autoSpaceDN/>
        <w:bidi w:val="0"/>
        <w:spacing w:line="520" w:lineRule="exact"/>
        <w:ind w:firstLine="420" w:firstLineChars="200"/>
        <w:jc w:val="left"/>
        <w:textAlignment w:val="auto"/>
        <w:rPr>
          <w:rFonts w:hint="eastAsia" w:ascii="仿宋" w:hAnsi="仿宋" w:eastAsia="仿宋" w:cs="仿宋"/>
          <w:color w:val="auto"/>
          <w:kern w:val="2"/>
          <w:sz w:val="32"/>
          <w:szCs w:val="30"/>
          <w:lang w:val="en-US" w:eastAsia="zh-CN" w:bidi="ar-SA"/>
        </w:rPr>
      </w:pPr>
      <w:r>
        <w:rPr>
          <w:color w:val="auto"/>
        </w:rPr>
        <w:drawing>
          <wp:anchor distT="0" distB="0" distL="114300" distR="114300" simplePos="0" relativeHeight="251663360" behindDoc="0" locked="0" layoutInCell="1" allowOverlap="1">
            <wp:simplePos x="0" y="0"/>
            <wp:positionH relativeFrom="column">
              <wp:posOffset>115570</wp:posOffset>
            </wp:positionH>
            <wp:positionV relativeFrom="paragraph">
              <wp:posOffset>308610</wp:posOffset>
            </wp:positionV>
            <wp:extent cx="8526780" cy="4041775"/>
            <wp:effectExtent l="0" t="0" r="7620" b="15875"/>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6"/>
                    <a:stretch>
                      <a:fillRect/>
                    </a:stretch>
                  </pic:blipFill>
                  <pic:spPr>
                    <a:xfrm>
                      <a:off x="0" y="0"/>
                      <a:ext cx="8526780" cy="4041775"/>
                    </a:xfrm>
                    <a:prstGeom prst="rect">
                      <a:avLst/>
                    </a:prstGeom>
                    <a:noFill/>
                    <a:ln>
                      <a:noFill/>
                    </a:ln>
                  </pic:spPr>
                </pic:pic>
              </a:graphicData>
            </a:graphic>
          </wp:anchor>
        </w:drawing>
      </w:r>
    </w:p>
    <w:p w14:paraId="723F5F6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22B976F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919CD0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4986251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24C056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0ABD207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5D5ABF6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sectPr>
          <w:pgSz w:w="16838" w:h="11906" w:orient="landscape"/>
          <w:pgMar w:top="1797" w:right="1701" w:bottom="1797" w:left="1701" w:header="851" w:footer="850" w:gutter="0"/>
          <w:cols w:space="720" w:num="1"/>
          <w:docGrid w:type="lines" w:linePitch="312" w:charSpace="0"/>
        </w:sectPr>
      </w:pP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color w:val="auto"/>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 xml:space="preserve">第三部分  </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5</w:t>
      </w:r>
      <w:r>
        <w:rPr>
          <w:rFonts w:hint="eastAsia" w:ascii="黑体" w:hAnsi="黑体" w:eastAsia="黑体" w:cs="黑体"/>
          <w:b w:val="0"/>
          <w:bCs/>
          <w:color w:val="auto"/>
          <w:sz w:val="32"/>
          <w:szCs w:val="30"/>
        </w:rPr>
        <w:t>年</w:t>
      </w:r>
      <w:r>
        <w:rPr>
          <w:rFonts w:hint="eastAsia" w:ascii="黑体" w:hAnsi="黑体" w:eastAsia="黑体" w:cs="黑体"/>
          <w:b w:val="0"/>
          <w:bCs/>
          <w:color w:val="auto"/>
          <w:sz w:val="32"/>
          <w:szCs w:val="30"/>
          <w:lang w:eastAsia="zh-CN"/>
        </w:rPr>
        <w:t>单位</w:t>
      </w:r>
      <w:r>
        <w:rPr>
          <w:rFonts w:hint="eastAsia" w:ascii="黑体" w:hAnsi="黑体" w:eastAsia="黑体" w:cs="黑体"/>
          <w:b w:val="0"/>
          <w:bCs/>
          <w:color w:val="auto"/>
          <w:sz w:val="32"/>
          <w:szCs w:val="30"/>
        </w:rPr>
        <w:t>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color w:val="auto"/>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一、</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5</w:t>
      </w:r>
      <w:r>
        <w:rPr>
          <w:rFonts w:hint="eastAsia" w:ascii="黑体" w:hAnsi="黑体" w:eastAsia="黑体" w:cs="黑体"/>
          <w:b w:val="0"/>
          <w:bCs/>
          <w:color w:val="auto"/>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auto"/>
          <w:sz w:val="32"/>
          <w:szCs w:val="32"/>
          <w:lang w:eastAsia="zh-CN"/>
        </w:rPr>
      </w:pPr>
      <w:r>
        <w:rPr>
          <w:rStyle w:val="8"/>
          <w:rFonts w:hint="eastAsia" w:ascii="楷体" w:hAnsi="楷体" w:eastAsia="楷体" w:cs="楷体"/>
          <w:b/>
          <w:color w:val="auto"/>
          <w:sz w:val="32"/>
          <w:szCs w:val="32"/>
        </w:rPr>
        <w:t>（</w:t>
      </w:r>
      <w:r>
        <w:rPr>
          <w:rStyle w:val="8"/>
          <w:rFonts w:hint="eastAsia" w:ascii="楷体" w:hAnsi="楷体" w:eastAsia="楷体" w:cs="楷体"/>
          <w:b/>
          <w:color w:val="auto"/>
          <w:sz w:val="32"/>
          <w:szCs w:val="32"/>
          <w:lang w:eastAsia="zh-CN"/>
        </w:rPr>
        <w:t>一</w:t>
      </w:r>
      <w:r>
        <w:rPr>
          <w:rStyle w:val="8"/>
          <w:rFonts w:hint="eastAsia" w:ascii="楷体" w:hAnsi="楷体" w:eastAsia="楷体" w:cs="楷体"/>
          <w:b/>
          <w:color w:val="auto"/>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color w:val="auto"/>
          <w:kern w:val="0"/>
          <w:sz w:val="32"/>
        </w:rPr>
      </w:pPr>
      <w:r>
        <w:rPr>
          <w:rFonts w:hint="eastAsia" w:ascii="仿宋" w:hAnsi="仿宋" w:eastAsia="仿宋" w:cs="仿宋"/>
          <w:color w:val="auto"/>
          <w:kern w:val="2"/>
          <w:sz w:val="32"/>
          <w:szCs w:val="30"/>
          <w:lang w:val="en-US" w:eastAsia="zh-CN" w:bidi="ar-SA"/>
        </w:rPr>
        <w:t>2025年</w:t>
      </w:r>
      <w:r>
        <w:rPr>
          <w:rFonts w:hint="eastAsia" w:ascii="仿宋" w:hAnsi="仿宋" w:eastAsia="仿宋" w:cs="仿宋"/>
          <w:color w:val="auto"/>
          <w:kern w:val="2"/>
          <w:sz w:val="32"/>
          <w:szCs w:val="30"/>
          <w:lang w:eastAsia="zh-CN"/>
        </w:rPr>
        <w:t>赣州市南康区唐江中学收入预算总额为</w:t>
      </w:r>
      <w:r>
        <w:rPr>
          <w:rFonts w:hint="eastAsia" w:ascii="仿宋" w:hAnsi="仿宋" w:eastAsia="仿宋" w:cs="仿宋"/>
          <w:color w:val="auto"/>
          <w:kern w:val="2"/>
          <w:sz w:val="32"/>
          <w:szCs w:val="30"/>
          <w:lang w:val="en-US" w:eastAsia="zh-CN"/>
        </w:rPr>
        <w:t>8844.06</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1109.03</w:t>
      </w:r>
      <w:r>
        <w:rPr>
          <w:rFonts w:hint="eastAsia" w:ascii="仿宋" w:hAnsi="仿宋" w:eastAsia="仿宋" w:cs="仿宋"/>
          <w:color w:val="auto"/>
          <w:kern w:val="2"/>
          <w:sz w:val="32"/>
          <w:szCs w:val="30"/>
          <w:lang w:eastAsia="zh-CN"/>
        </w:rPr>
        <w:t>万元，主要原因是上年结转（结余）减少。其中：财政拨款收入2840.21万元，较上年预算安排增加</w:t>
      </w:r>
      <w:r>
        <w:rPr>
          <w:rFonts w:hint="eastAsia" w:ascii="仿宋" w:hAnsi="仿宋" w:eastAsia="仿宋" w:cs="仿宋"/>
          <w:color w:val="auto"/>
          <w:kern w:val="2"/>
          <w:sz w:val="32"/>
          <w:szCs w:val="30"/>
          <w:lang w:val="en-US" w:eastAsia="zh-CN"/>
        </w:rPr>
        <w:t>387.12</w:t>
      </w:r>
      <w:r>
        <w:rPr>
          <w:rFonts w:hint="eastAsia" w:ascii="仿宋" w:hAnsi="仿宋" w:eastAsia="仿宋" w:cs="仿宋"/>
          <w:color w:val="auto"/>
          <w:kern w:val="2"/>
          <w:sz w:val="32"/>
          <w:szCs w:val="30"/>
          <w:lang w:eastAsia="zh-CN"/>
        </w:rPr>
        <w:t>万元;教育收费资金收入</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万元;事业单位经营收入</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万元;国库集中支付网上结转</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rPr>
        <w:t>（</w:t>
      </w:r>
      <w:r>
        <w:rPr>
          <w:rStyle w:val="8"/>
          <w:rFonts w:hint="eastAsia" w:ascii="楷体" w:hAnsi="楷体" w:eastAsia="楷体" w:cs="楷体"/>
          <w:b/>
          <w:color w:val="auto"/>
          <w:sz w:val="32"/>
          <w:szCs w:val="32"/>
          <w:lang w:eastAsia="zh-CN"/>
        </w:rPr>
        <w:t>二</w:t>
      </w:r>
      <w:r>
        <w:rPr>
          <w:rStyle w:val="8"/>
          <w:rFonts w:hint="eastAsia" w:ascii="楷体" w:hAnsi="楷体" w:eastAsia="楷体" w:cs="楷体"/>
          <w:b/>
          <w:color w:val="auto"/>
          <w:sz w:val="32"/>
          <w:szCs w:val="32"/>
        </w:rPr>
        <w:t>）支出预算情况</w:t>
      </w:r>
    </w:p>
    <w:p w14:paraId="46564D2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年赣州市南康区唐江中学支出预算总额为</w:t>
      </w:r>
      <w:r>
        <w:rPr>
          <w:rFonts w:hint="eastAsia" w:ascii="仿宋" w:hAnsi="仿宋" w:eastAsia="仿宋" w:cs="仿宋"/>
          <w:color w:val="auto"/>
          <w:kern w:val="2"/>
          <w:sz w:val="32"/>
          <w:szCs w:val="30"/>
          <w:lang w:val="en-US" w:eastAsia="zh-CN"/>
        </w:rPr>
        <w:t>8844.06</w:t>
      </w:r>
      <w:r>
        <w:rPr>
          <w:rFonts w:hint="eastAsia" w:ascii="仿宋" w:hAnsi="仿宋" w:eastAsia="仿宋" w:cs="仿宋"/>
          <w:color w:val="auto"/>
          <w:kern w:val="2"/>
          <w:sz w:val="32"/>
          <w:szCs w:val="30"/>
          <w:lang w:eastAsia="zh-CN"/>
        </w:rPr>
        <w:t>万元，较上年预算安排减少1109.03万元，主要原因是上年结转（结余）减少。其中：</w:t>
      </w:r>
    </w:p>
    <w:p w14:paraId="0032EFE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按支出项目类别划分：基本支出2836.8</w:t>
      </w:r>
      <w:r>
        <w:rPr>
          <w:rFonts w:hint="eastAsia" w:ascii="仿宋" w:hAnsi="仿宋" w:eastAsia="仿宋" w:cs="仿宋"/>
          <w:color w:val="auto"/>
          <w:kern w:val="2"/>
          <w:sz w:val="32"/>
          <w:szCs w:val="30"/>
          <w:lang w:val="en-US" w:eastAsia="zh-CN"/>
        </w:rPr>
        <w:t>1</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405.43</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2821.31</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15.5</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6007.25</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1514.45</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4693C43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万元;教育支出</w:t>
      </w:r>
      <w:r>
        <w:rPr>
          <w:rFonts w:hint="eastAsia" w:ascii="仿宋" w:hAnsi="仿宋" w:eastAsia="仿宋" w:cs="仿宋"/>
          <w:color w:val="auto"/>
          <w:kern w:val="2"/>
          <w:sz w:val="32"/>
          <w:szCs w:val="30"/>
          <w:lang w:val="en-US" w:eastAsia="zh-CN"/>
        </w:rPr>
        <w:t>8844.06</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减少</w:t>
      </w:r>
      <w:r>
        <w:rPr>
          <w:rFonts w:hint="eastAsia" w:ascii="仿宋" w:hAnsi="仿宋" w:eastAsia="仿宋" w:cs="仿宋"/>
          <w:color w:val="auto"/>
          <w:kern w:val="2"/>
          <w:sz w:val="32"/>
          <w:szCs w:val="30"/>
          <w:lang w:eastAsia="zh-CN"/>
        </w:rPr>
        <w:t>1109.03万元;科学技术支出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万元;农林水支出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36A452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按支出经济分类划分：工资福利支出</w:t>
      </w:r>
      <w:r>
        <w:rPr>
          <w:rFonts w:hint="eastAsia" w:ascii="仿宋" w:hAnsi="仿宋" w:eastAsia="仿宋" w:cs="仿宋"/>
          <w:color w:val="auto"/>
          <w:kern w:val="2"/>
          <w:sz w:val="32"/>
          <w:szCs w:val="30"/>
          <w:lang w:val="en-US" w:eastAsia="zh-CN"/>
        </w:rPr>
        <w:t>2821.31</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406.07</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15.5</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减少0.64</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rPr>
        <w:t>（</w:t>
      </w:r>
      <w:r>
        <w:rPr>
          <w:rStyle w:val="8"/>
          <w:rFonts w:hint="eastAsia" w:ascii="楷体" w:hAnsi="楷体" w:eastAsia="楷体" w:cs="楷体"/>
          <w:b/>
          <w:color w:val="auto"/>
          <w:sz w:val="32"/>
          <w:szCs w:val="32"/>
          <w:lang w:eastAsia="zh-CN"/>
        </w:rPr>
        <w:t>三</w:t>
      </w:r>
      <w:r>
        <w:rPr>
          <w:rStyle w:val="8"/>
          <w:rFonts w:hint="eastAsia" w:ascii="楷体" w:hAnsi="楷体" w:eastAsia="楷体" w:cs="楷体"/>
          <w:b/>
          <w:color w:val="auto"/>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年赣州市南康区唐江中学财政拨款支出预算总额为</w:t>
      </w:r>
      <w:r>
        <w:rPr>
          <w:rFonts w:hint="eastAsia" w:ascii="仿宋" w:hAnsi="仿宋" w:eastAsia="仿宋" w:cs="仿宋"/>
          <w:color w:val="auto"/>
          <w:kern w:val="2"/>
          <w:sz w:val="32"/>
          <w:szCs w:val="30"/>
          <w:lang w:val="en-US" w:eastAsia="zh-CN"/>
        </w:rPr>
        <w:t>2840.21</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387.12</w:t>
      </w:r>
      <w:r>
        <w:rPr>
          <w:rFonts w:hint="eastAsia" w:ascii="仿宋" w:hAnsi="仿宋" w:eastAsia="仿宋" w:cs="仿宋"/>
          <w:color w:val="auto"/>
          <w:kern w:val="2"/>
          <w:sz w:val="32"/>
          <w:szCs w:val="30"/>
          <w:lang w:eastAsia="zh-CN"/>
        </w:rPr>
        <w:t>万元，主要原因是</w:t>
      </w:r>
      <w:r>
        <w:rPr>
          <w:rFonts w:hint="eastAsia" w:ascii="仿宋" w:hAnsi="仿宋" w:eastAsia="仿宋" w:cs="仿宋"/>
          <w:color w:val="auto"/>
          <w:kern w:val="2"/>
          <w:sz w:val="32"/>
          <w:szCs w:val="30"/>
          <w:lang w:val="en-US" w:eastAsia="zh-CN"/>
        </w:rPr>
        <w:t>正常增加薪级、岗位晋升、住房公积金财政配套部分指标下达至预算单位等</w:t>
      </w:r>
      <w:r>
        <w:rPr>
          <w:rFonts w:hint="eastAsia" w:ascii="仿宋" w:hAnsi="仿宋" w:eastAsia="仿宋" w:cs="仿宋"/>
          <w:color w:val="auto"/>
          <w:kern w:val="2"/>
          <w:sz w:val="32"/>
          <w:szCs w:val="30"/>
          <w:lang w:eastAsia="zh-CN"/>
        </w:rPr>
        <w:t>教育支出</w:t>
      </w:r>
      <w:r>
        <w:rPr>
          <w:rFonts w:hint="eastAsia" w:ascii="仿宋" w:hAnsi="仿宋" w:eastAsia="仿宋" w:cs="仿宋"/>
          <w:color w:val="auto"/>
          <w:kern w:val="2"/>
          <w:sz w:val="32"/>
          <w:szCs w:val="30"/>
          <w:lang w:val="en-US" w:eastAsia="zh-CN"/>
        </w:rPr>
        <w:t>的</w:t>
      </w:r>
      <w:r>
        <w:rPr>
          <w:rFonts w:hint="eastAsia" w:ascii="仿宋" w:hAnsi="仿宋" w:eastAsia="仿宋" w:cs="仿宋"/>
          <w:color w:val="auto"/>
          <w:kern w:val="2"/>
          <w:sz w:val="32"/>
          <w:szCs w:val="30"/>
          <w:lang w:eastAsia="zh-CN"/>
        </w:rPr>
        <w:t>增加。</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万元，教育支出</w:t>
      </w:r>
      <w:r>
        <w:rPr>
          <w:rFonts w:hint="eastAsia" w:ascii="仿宋" w:hAnsi="仿宋" w:eastAsia="仿宋" w:cs="仿宋"/>
          <w:color w:val="auto"/>
          <w:kern w:val="2"/>
          <w:sz w:val="32"/>
          <w:szCs w:val="30"/>
          <w:lang w:val="en-US" w:eastAsia="zh-CN"/>
        </w:rPr>
        <w:t>2840.21</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67AE42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按支出项目类别划分：基本支出</w:t>
      </w:r>
      <w:r>
        <w:rPr>
          <w:rFonts w:hint="eastAsia" w:ascii="仿宋" w:hAnsi="仿宋" w:eastAsia="仿宋" w:cs="仿宋"/>
          <w:color w:val="auto"/>
          <w:kern w:val="2"/>
          <w:sz w:val="32"/>
          <w:szCs w:val="30"/>
          <w:lang w:val="en-US" w:eastAsia="zh-CN"/>
        </w:rPr>
        <w:t>2836.81</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405.43</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2821.31</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15.50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3.4</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18.31</w:t>
      </w:r>
      <w:r>
        <w:rPr>
          <w:rFonts w:hint="eastAsia" w:ascii="仿宋" w:hAnsi="仿宋" w:eastAsia="仿宋" w:cs="仿宋"/>
          <w:color w:val="auto"/>
          <w:kern w:val="2"/>
          <w:sz w:val="32"/>
          <w:szCs w:val="30"/>
          <w:lang w:eastAsia="zh-CN"/>
        </w:rPr>
        <w:t>万元，其中：商品和服务支出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rPr>
        <w:t>（</w:t>
      </w:r>
      <w:r>
        <w:rPr>
          <w:rStyle w:val="8"/>
          <w:rFonts w:hint="eastAsia" w:ascii="楷体" w:hAnsi="楷体" w:eastAsia="楷体" w:cs="楷体"/>
          <w:b/>
          <w:color w:val="auto"/>
          <w:sz w:val="32"/>
          <w:szCs w:val="32"/>
          <w:lang w:eastAsia="zh-CN"/>
        </w:rPr>
        <w:t>四</w:t>
      </w:r>
      <w:r>
        <w:rPr>
          <w:rStyle w:val="8"/>
          <w:rFonts w:hint="eastAsia" w:ascii="楷体" w:hAnsi="楷体" w:eastAsia="楷体" w:cs="楷体"/>
          <w:b/>
          <w:color w:val="auto"/>
          <w:sz w:val="32"/>
          <w:szCs w:val="32"/>
        </w:rPr>
        <w:t>）政府性基金情况</w:t>
      </w:r>
    </w:p>
    <w:p w14:paraId="59A43A3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2025年赣州市南康区唐江中学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rPr>
        <w:t>（五）国有资本经营情况</w:t>
      </w:r>
    </w:p>
    <w:p w14:paraId="0D07FF6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2025年赣州市南康区唐江中学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六</w:t>
      </w: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机关运行经费等重要事项的说明</w:t>
      </w:r>
    </w:p>
    <w:p w14:paraId="5A92EA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年部门机关运行费预算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万元，比202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年预算增加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万元，增长</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%，主要原因是：无。</w:t>
      </w:r>
    </w:p>
    <w:p w14:paraId="3B1A3ED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七</w:t>
      </w: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2025年赣州市南康区唐江中学政府采购总额20</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val="en-US" w:eastAsia="zh-CN" w:bidi="ar-SA"/>
        </w:rPr>
        <w:t>万元，其中: 政府采购货物预算</w:t>
      </w:r>
      <w:r>
        <w:rPr>
          <w:rFonts w:hint="eastAsia" w:ascii="仿宋" w:hAnsi="仿宋" w:eastAsia="仿宋" w:cs="仿宋"/>
          <w:color w:val="auto"/>
          <w:kern w:val="2"/>
          <w:sz w:val="32"/>
          <w:szCs w:val="30"/>
          <w:lang w:val="en-US" w:eastAsia="zh-CN"/>
        </w:rPr>
        <w:t>75</w:t>
      </w:r>
      <w:r>
        <w:rPr>
          <w:rFonts w:hint="eastAsia" w:ascii="仿宋" w:hAnsi="仿宋" w:eastAsia="仿宋" w:cs="仿宋"/>
          <w:color w:val="auto"/>
          <w:kern w:val="2"/>
          <w:sz w:val="32"/>
          <w:szCs w:val="30"/>
          <w:lang w:val="en-US" w:eastAsia="zh-CN" w:bidi="ar-SA"/>
        </w:rPr>
        <w:t>万元</w:t>
      </w:r>
      <w:bookmarkStart w:id="0" w:name="_GoBack"/>
      <w:bookmarkEnd w:id="0"/>
      <w:r>
        <w:rPr>
          <w:rFonts w:hint="eastAsia" w:ascii="仿宋" w:hAnsi="仿宋" w:eastAsia="仿宋" w:cs="仿宋"/>
          <w:color w:val="auto"/>
          <w:kern w:val="2"/>
          <w:sz w:val="32"/>
          <w:szCs w:val="30"/>
          <w:lang w:val="en-US" w:eastAsia="zh-CN" w:bidi="ar-SA"/>
        </w:rPr>
        <w:t>，政府采购工程预算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val="en-US" w:eastAsia="zh-CN" w:bidi="ar-SA"/>
        </w:rPr>
        <w:t>万元，政府采购服务预算</w:t>
      </w:r>
      <w:r>
        <w:rPr>
          <w:rFonts w:hint="eastAsia" w:ascii="仿宋" w:hAnsi="仿宋" w:eastAsia="仿宋" w:cs="仿宋"/>
          <w:color w:val="auto"/>
          <w:kern w:val="2"/>
          <w:sz w:val="32"/>
          <w:szCs w:val="30"/>
          <w:lang w:val="en-US" w:eastAsia="zh-CN"/>
        </w:rPr>
        <w:t>125</w:t>
      </w:r>
      <w:r>
        <w:rPr>
          <w:rFonts w:hint="eastAsia" w:ascii="仿宋" w:hAnsi="仿宋" w:eastAsia="仿宋" w:cs="仿宋"/>
          <w:color w:val="auto"/>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color w:val="auto"/>
          <w:sz w:val="32"/>
          <w:szCs w:val="32"/>
        </w:rPr>
      </w:pP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八</w:t>
      </w:r>
      <w:r>
        <w:rPr>
          <w:rStyle w:val="8"/>
          <w:rFonts w:hint="eastAsia" w:ascii="楷体" w:hAnsi="楷体" w:eastAsia="楷体" w:cs="楷体"/>
          <w:b/>
          <w:color w:val="auto"/>
          <w:sz w:val="32"/>
          <w:szCs w:val="32"/>
          <w:lang w:eastAsia="zh-CN"/>
        </w:rPr>
        <w:t>）</w:t>
      </w:r>
      <w:r>
        <w:rPr>
          <w:rStyle w:val="8"/>
          <w:rFonts w:hint="eastAsia" w:ascii="楷体" w:hAnsi="楷体" w:eastAsia="楷体" w:cs="楷体"/>
          <w:b/>
          <w:color w:val="auto"/>
          <w:sz w:val="32"/>
          <w:szCs w:val="32"/>
        </w:rPr>
        <w:t>国有资产占有使用情况</w:t>
      </w:r>
    </w:p>
    <w:p w14:paraId="5FA3D32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截至202</w:t>
      </w:r>
      <w:r>
        <w:rPr>
          <w:rFonts w:hint="eastAsia" w:ascii="仿宋" w:hAnsi="仿宋" w:eastAsia="仿宋" w:cs="仿宋"/>
          <w:color w:val="auto"/>
          <w:kern w:val="2"/>
          <w:sz w:val="32"/>
          <w:szCs w:val="30"/>
          <w:lang w:val="en-US" w:eastAsia="zh-CN"/>
        </w:rPr>
        <w:t>4年底</w:t>
      </w:r>
      <w:r>
        <w:rPr>
          <w:rFonts w:hint="eastAsia" w:ascii="仿宋" w:hAnsi="仿宋" w:eastAsia="仿宋" w:cs="仿宋"/>
          <w:color w:val="auto"/>
          <w:kern w:val="2"/>
          <w:sz w:val="32"/>
          <w:szCs w:val="30"/>
          <w:lang w:eastAsia="zh-CN"/>
        </w:rPr>
        <w:t>，本单位共有车辆</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辆，其中：一般公务用车实有数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辆，执法执勤用车实有数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w:t>
      </w:r>
    </w:p>
    <w:p w14:paraId="0ADC456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年部门预算安排购置车辆</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w:t>
      </w:r>
    </w:p>
    <w:p w14:paraId="0F31A80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713255AE">
      <w:pPr>
        <w:adjustRightInd w:val="0"/>
        <w:snapToGrid w:val="0"/>
        <w:spacing w:line="600" w:lineRule="exact"/>
        <w:ind w:firstLine="643" w:firstLineChars="200"/>
        <w:rPr>
          <w:rFonts w:hint="eastAsia" w:ascii="楷体_GB2312" w:hAnsi="仿宋_GB2312" w:eastAsia="楷体_GB2312"/>
          <w:b/>
          <w:color w:val="auto"/>
          <w:sz w:val="32"/>
          <w:szCs w:val="32"/>
          <w:highlight w:val="none"/>
        </w:rPr>
      </w:pPr>
      <w:r>
        <w:rPr>
          <w:rFonts w:hint="eastAsia" w:ascii="楷体_GB2312" w:hAnsi="仿宋_GB2312" w:eastAsia="楷体_GB2312"/>
          <w:b/>
          <w:color w:val="auto"/>
          <w:sz w:val="32"/>
          <w:szCs w:val="32"/>
          <w:highlight w:val="none"/>
        </w:rPr>
        <w:t>（九）</w:t>
      </w:r>
      <w:r>
        <w:rPr>
          <w:rFonts w:hint="eastAsia" w:ascii="楷体_GB2312" w:hAnsi="仿宋_GB2312" w:eastAsia="楷体_GB2312"/>
          <w:b/>
          <w:color w:val="auto"/>
          <w:sz w:val="32"/>
          <w:szCs w:val="32"/>
          <w:highlight w:val="none"/>
          <w:lang w:eastAsia="zh-CN"/>
        </w:rPr>
        <w:t>重点</w:t>
      </w:r>
      <w:r>
        <w:rPr>
          <w:rFonts w:hint="eastAsia" w:ascii="楷体_GB2312" w:hAnsi="仿宋_GB2312" w:eastAsia="楷体_GB2312"/>
          <w:b/>
          <w:color w:val="auto"/>
          <w:sz w:val="32"/>
          <w:szCs w:val="32"/>
          <w:highlight w:val="none"/>
        </w:rPr>
        <w:t>项目情况说明</w:t>
      </w:r>
    </w:p>
    <w:p w14:paraId="40D0E4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（1）项目概述：项目名称赣州市南康区唐江中学学生宿舍，保障高中教育阶段学生的住宿条件。</w:t>
      </w:r>
    </w:p>
    <w:p w14:paraId="22C29F0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（2）立项依据：高中教育保障机制。</w:t>
      </w:r>
    </w:p>
    <w:p w14:paraId="1397126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（3）实施主体：赣州市南康区唐江中学</w:t>
      </w:r>
    </w:p>
    <w:p w14:paraId="79EE7E7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（4）实施方案：按照学校年初预算安排。</w:t>
      </w:r>
    </w:p>
    <w:p w14:paraId="3550C19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（5）实施周期;202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.01.01-202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.12.31。</w:t>
      </w:r>
    </w:p>
    <w:p w14:paraId="611C35C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（6）年度预算安排:</w:t>
      </w:r>
      <w:r>
        <w:rPr>
          <w:rFonts w:hint="eastAsia" w:ascii="仿宋" w:hAnsi="仿宋" w:eastAsia="仿宋" w:cs="仿宋"/>
          <w:color w:val="auto"/>
          <w:kern w:val="2"/>
          <w:sz w:val="32"/>
          <w:szCs w:val="30"/>
          <w:lang w:val="en-US" w:eastAsia="zh-CN"/>
        </w:rPr>
        <w:t>1500</w:t>
      </w:r>
      <w:r>
        <w:rPr>
          <w:rFonts w:hint="eastAsia" w:ascii="仿宋" w:hAnsi="仿宋" w:eastAsia="仿宋" w:cs="仿宋"/>
          <w:color w:val="auto"/>
          <w:kern w:val="2"/>
          <w:sz w:val="32"/>
          <w:szCs w:val="30"/>
          <w:lang w:eastAsia="zh-CN"/>
        </w:rPr>
        <w:t>万元。</w:t>
      </w:r>
    </w:p>
    <w:p w14:paraId="3C88B9F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（7）绩效目标和指标</w:t>
      </w:r>
    </w:p>
    <w:p w14:paraId="3F1AD68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数量指标：学生宿舍完成度&gt;=85%。</w:t>
      </w:r>
    </w:p>
    <w:p w14:paraId="61E135D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质量指标：质量合格。</w:t>
      </w:r>
    </w:p>
    <w:p w14:paraId="41C1AE7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实效指标：匹配计划进度。</w:t>
      </w:r>
    </w:p>
    <w:p w14:paraId="164C57D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1600" w:firstLineChars="5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经济效益指标：改善学生住宿条件。</w:t>
      </w:r>
    </w:p>
    <w:p w14:paraId="6156547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      社会效益指标：提高人民群众的幸福指数。</w:t>
      </w:r>
    </w:p>
    <w:p w14:paraId="470FA49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1600" w:firstLineChars="5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 xml:space="preserve">满意度指标：学生宿舍学生的满意度&gt;=85%。    </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kern w:val="0"/>
          <w:sz w:val="32"/>
          <w:szCs w:val="32"/>
        </w:rPr>
        <w:t>二、</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5</w:t>
      </w:r>
      <w:r>
        <w:rPr>
          <w:rFonts w:hint="eastAsia" w:ascii="黑体" w:hAnsi="黑体" w:eastAsia="黑体" w:cs="黑体"/>
          <w:b w:val="0"/>
          <w:bCs/>
          <w:color w:val="auto"/>
          <w:sz w:val="32"/>
          <w:szCs w:val="30"/>
        </w:rPr>
        <w:t>年“三公”经费预算情况说明</w:t>
      </w:r>
    </w:p>
    <w:p w14:paraId="2040255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2025年赣州市南康区唐江中学"三公"经费一般公共预算安排3.4万元，较少年增加0万元，其中：</w:t>
      </w:r>
    </w:p>
    <w:p w14:paraId="4D0E5FC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因公出国0万元，比上年增加0万元，主要原因是：</w:t>
      </w:r>
      <w:r>
        <w:rPr>
          <w:rFonts w:hint="eastAsia" w:ascii="仿宋" w:hAnsi="仿宋" w:eastAsia="仿宋" w:cs="仿宋"/>
          <w:color w:val="auto"/>
          <w:kern w:val="2"/>
          <w:sz w:val="32"/>
          <w:szCs w:val="30"/>
          <w:lang w:eastAsia="zh-CN"/>
        </w:rPr>
        <w:t>无</w:t>
      </w:r>
      <w:r>
        <w:rPr>
          <w:rFonts w:hint="eastAsia" w:ascii="仿宋" w:hAnsi="仿宋" w:eastAsia="仿宋" w:cs="仿宋"/>
          <w:color w:val="auto"/>
          <w:kern w:val="2"/>
          <w:sz w:val="32"/>
          <w:szCs w:val="30"/>
          <w:lang w:val="en-US" w:eastAsia="zh-CN"/>
        </w:rPr>
        <w:t>。</w:t>
      </w:r>
    </w:p>
    <w:p w14:paraId="232CC1F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公务接待3.4万元，比上年减少0万元，主要原因是："三公"经费不超去年预算编制数。</w:t>
      </w:r>
    </w:p>
    <w:p w14:paraId="5734453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公务用车运行0万元，比上年增0万元，主要原因是：</w:t>
      </w:r>
      <w:r>
        <w:rPr>
          <w:rFonts w:hint="eastAsia" w:ascii="仿宋" w:hAnsi="仿宋" w:eastAsia="仿宋" w:cs="仿宋"/>
          <w:color w:val="auto"/>
          <w:kern w:val="2"/>
          <w:sz w:val="32"/>
          <w:szCs w:val="30"/>
          <w:lang w:eastAsia="zh-CN"/>
        </w:rPr>
        <w:t>无</w:t>
      </w:r>
      <w:r>
        <w:rPr>
          <w:rFonts w:hint="eastAsia" w:ascii="仿宋" w:hAnsi="仿宋" w:eastAsia="仿宋" w:cs="仿宋"/>
          <w:color w:val="auto"/>
          <w:kern w:val="2"/>
          <w:sz w:val="32"/>
          <w:szCs w:val="30"/>
          <w:lang w:val="en-US" w:eastAsia="zh-CN"/>
        </w:rPr>
        <w:t>。</w:t>
      </w:r>
    </w:p>
    <w:p w14:paraId="571C128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公务用车购置0万元，比上年增0万元，主要原因是：</w:t>
      </w:r>
      <w:r>
        <w:rPr>
          <w:rFonts w:hint="eastAsia" w:ascii="仿宋" w:hAnsi="仿宋" w:eastAsia="仿宋" w:cs="仿宋"/>
          <w:color w:val="auto"/>
          <w:kern w:val="2"/>
          <w:sz w:val="32"/>
          <w:szCs w:val="30"/>
          <w:lang w:eastAsia="zh-CN"/>
        </w:rPr>
        <w:t>无</w:t>
      </w:r>
      <w:r>
        <w:rPr>
          <w:rFonts w:hint="eastAsia" w:ascii="仿宋" w:hAnsi="仿宋" w:eastAsia="仿宋" w:cs="仿宋"/>
          <w:color w:val="auto"/>
          <w:kern w:val="2"/>
          <w:sz w:val="32"/>
          <w:szCs w:val="30"/>
          <w:lang w:val="en-US" w:eastAsia="zh-CN"/>
        </w:rPr>
        <w:t>。</w:t>
      </w:r>
    </w:p>
    <w:p w14:paraId="7D64C40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color w:val="auto"/>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一、收入科目</w:t>
      </w:r>
    </w:p>
    <w:p w14:paraId="408F290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（一）财政拨款：</w:t>
      </w:r>
      <w:r>
        <w:rPr>
          <w:rFonts w:hint="eastAsia" w:ascii="仿宋" w:hAnsi="仿宋" w:eastAsia="仿宋" w:cs="仿宋"/>
          <w:color w:val="auto"/>
          <w:kern w:val="2"/>
          <w:sz w:val="32"/>
          <w:szCs w:val="30"/>
          <w:lang w:eastAsia="zh-CN"/>
        </w:rPr>
        <w:t>指</w:t>
      </w:r>
      <w:r>
        <w:rPr>
          <w:rFonts w:hint="eastAsia" w:ascii="仿宋" w:hAnsi="仿宋" w:eastAsia="仿宋" w:cs="仿宋"/>
          <w:color w:val="auto"/>
          <w:kern w:val="2"/>
          <w:sz w:val="32"/>
          <w:szCs w:val="30"/>
          <w:lang w:val="en-US" w:eastAsia="zh-CN"/>
        </w:rPr>
        <w:t>市</w:t>
      </w:r>
      <w:r>
        <w:rPr>
          <w:rFonts w:hint="eastAsia" w:ascii="仿宋" w:hAnsi="仿宋" w:eastAsia="仿宋" w:cs="仿宋"/>
          <w:color w:val="auto"/>
          <w:kern w:val="2"/>
          <w:sz w:val="32"/>
          <w:szCs w:val="30"/>
          <w:lang w:eastAsia="zh-CN"/>
        </w:rPr>
        <w:t>级财政当年拨付的资金。</w:t>
      </w:r>
    </w:p>
    <w:p w14:paraId="50DEF5E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（二）教育收费资金收入：</w:t>
      </w:r>
      <w:r>
        <w:rPr>
          <w:rFonts w:hint="eastAsia" w:ascii="仿宋" w:hAnsi="仿宋" w:eastAsia="仿宋" w:cs="仿宋"/>
          <w:color w:val="auto"/>
          <w:kern w:val="2"/>
          <w:sz w:val="32"/>
          <w:szCs w:val="30"/>
          <w:lang w:eastAsia="zh-CN"/>
        </w:rPr>
        <w:t>反映实行专项管理的高中以上学费、住宿费，高校委托培养费、短训班培训费等教育收费取得的收入。</w:t>
      </w:r>
    </w:p>
    <w:p w14:paraId="229C766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（三）事业收入：</w:t>
      </w:r>
      <w:r>
        <w:rPr>
          <w:rFonts w:hint="eastAsia" w:ascii="仿宋" w:hAnsi="仿宋" w:eastAsia="仿宋" w:cs="仿宋"/>
          <w:color w:val="auto"/>
          <w:kern w:val="2"/>
          <w:sz w:val="32"/>
          <w:szCs w:val="30"/>
          <w:lang w:eastAsia="zh-CN"/>
        </w:rPr>
        <w:t>指事业单位开展专业业务活动及辅助活动取得的收入。</w:t>
      </w:r>
    </w:p>
    <w:p w14:paraId="4D2C00D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（四）事业单位经营收入：</w:t>
      </w:r>
      <w:r>
        <w:rPr>
          <w:rFonts w:hint="eastAsia" w:ascii="仿宋" w:hAnsi="仿宋" w:eastAsia="仿宋" w:cs="仿宋"/>
          <w:color w:val="auto"/>
          <w:kern w:val="2"/>
          <w:sz w:val="32"/>
          <w:szCs w:val="30"/>
          <w:lang w:eastAsia="zh-CN"/>
        </w:rPr>
        <w:t>指事业单位在专业业务活动及辅助活动之外开展非独立核算经营活动取得的收入。</w:t>
      </w:r>
    </w:p>
    <w:p w14:paraId="0D8118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（五）附属单位上缴收入：</w:t>
      </w:r>
      <w:r>
        <w:rPr>
          <w:rFonts w:hint="eastAsia" w:ascii="仿宋" w:hAnsi="仿宋" w:eastAsia="仿宋" w:cs="仿宋"/>
          <w:color w:val="auto"/>
          <w:kern w:val="2"/>
          <w:sz w:val="32"/>
          <w:szCs w:val="30"/>
          <w:lang w:eastAsia="zh-CN"/>
        </w:rPr>
        <w:t>反映事业单位附属的独立核算单位按规定标准或比例缴纳的各项收入。包括附属的事业单位上缴的收入和附属的企业上缴的利润等。</w:t>
      </w:r>
    </w:p>
    <w:p w14:paraId="2C59817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（六）上级补助收入：</w:t>
      </w:r>
      <w:r>
        <w:rPr>
          <w:rFonts w:hint="eastAsia" w:ascii="仿宋" w:hAnsi="仿宋" w:eastAsia="仿宋" w:cs="仿宋"/>
          <w:color w:val="auto"/>
          <w:kern w:val="2"/>
          <w:sz w:val="32"/>
          <w:szCs w:val="30"/>
          <w:lang w:eastAsia="zh-CN"/>
        </w:rPr>
        <w:t>反映事业单位从主管部门和上级单位取得的非财政补助收入。</w:t>
      </w:r>
    </w:p>
    <w:p w14:paraId="75AB042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（七）其他收入：</w:t>
      </w:r>
      <w:r>
        <w:rPr>
          <w:rFonts w:hint="eastAsia" w:ascii="仿宋" w:hAnsi="仿宋" w:eastAsia="仿宋" w:cs="仿宋"/>
          <w:color w:val="auto"/>
          <w:kern w:val="2"/>
          <w:sz w:val="32"/>
          <w:szCs w:val="30"/>
          <w:lang w:eastAsia="zh-CN"/>
        </w:rPr>
        <w:t>指除财政拨款、事业收入、事业单位经营收入等以外的各项收入。</w:t>
      </w:r>
    </w:p>
    <w:p w14:paraId="41C6AB6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（八）上年结转和结余</w:t>
      </w:r>
      <w:r>
        <w:rPr>
          <w:rFonts w:hint="eastAsia" w:ascii="仿宋" w:hAnsi="仿宋" w:eastAsia="仿宋" w:cs="仿宋"/>
          <w:color w:val="auto"/>
          <w:kern w:val="2"/>
          <w:sz w:val="32"/>
          <w:szCs w:val="30"/>
          <w:lang w:eastAsia="zh-CN"/>
        </w:rPr>
        <w:t>：填列20</w:t>
      </w:r>
      <w:r>
        <w:rPr>
          <w:rFonts w:hint="eastAsia" w:ascii="仿宋" w:hAnsi="仿宋" w:eastAsia="仿宋" w:cs="仿宋"/>
          <w:color w:val="auto"/>
          <w:kern w:val="2"/>
          <w:sz w:val="32"/>
          <w:szCs w:val="30"/>
          <w:lang w:val="en-US" w:eastAsia="zh-CN"/>
        </w:rPr>
        <w:t>24</w:t>
      </w:r>
      <w:r>
        <w:rPr>
          <w:rFonts w:hint="eastAsia" w:ascii="仿宋" w:hAnsi="仿宋" w:eastAsia="仿宋" w:cs="仿宋"/>
          <w:color w:val="auto"/>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二、支出科目</w:t>
      </w:r>
    </w:p>
    <w:p w14:paraId="0EAD795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6BD05CC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374C76A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（二）一般行政管理事务：反映行政单位（包括实行公务员管理的事业单位）未单独设置项级科目的其他项目支出。</w:t>
      </w:r>
    </w:p>
    <w:p w14:paraId="1F3B254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（三）事业运行：反映事业单位的基本支出。</w:t>
      </w:r>
    </w:p>
    <w:p w14:paraId="41B6D64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（四）机关事业单位基本养老保险缴费支出：反映机关事业单位实施养老保险制度由单位缴纳的基本养老保险费的支出。</w:t>
      </w:r>
    </w:p>
    <w:p w14:paraId="76D7F0A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（五）行政单位医疗：反映财政部门安排的行政单位（包括实行公务员管理的事业单位）基本医疗保险缴费经费。</w:t>
      </w:r>
    </w:p>
    <w:p w14:paraId="2861139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54BC784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5ECE511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8AB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sectPr>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BEE29"/>
    <w:multiLevelType w:val="singleLevel"/>
    <w:tmpl w:val="0E0BEE29"/>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TM3MTIxYWZhZWJhNDdiNTQ2MjJhM2E4ZDNjMTYifQ=="/>
  </w:docVars>
  <w:rsids>
    <w:rsidRoot w:val="216B3C95"/>
    <w:rsid w:val="05221973"/>
    <w:rsid w:val="0781151E"/>
    <w:rsid w:val="09B361AA"/>
    <w:rsid w:val="0DCE3C4C"/>
    <w:rsid w:val="12F0682B"/>
    <w:rsid w:val="1AA1373B"/>
    <w:rsid w:val="20D02B5C"/>
    <w:rsid w:val="216B3C95"/>
    <w:rsid w:val="259C4A09"/>
    <w:rsid w:val="29913D56"/>
    <w:rsid w:val="2D9F180A"/>
    <w:rsid w:val="2ED52685"/>
    <w:rsid w:val="361F021D"/>
    <w:rsid w:val="368C578D"/>
    <w:rsid w:val="377E58E4"/>
    <w:rsid w:val="386A0691"/>
    <w:rsid w:val="3A331955"/>
    <w:rsid w:val="3B7D5295"/>
    <w:rsid w:val="3C635260"/>
    <w:rsid w:val="3DEB2F42"/>
    <w:rsid w:val="3F8A2AD8"/>
    <w:rsid w:val="45E4219F"/>
    <w:rsid w:val="46B40037"/>
    <w:rsid w:val="4C6139E1"/>
    <w:rsid w:val="50622BE2"/>
    <w:rsid w:val="598F4A10"/>
    <w:rsid w:val="63EB0CEF"/>
    <w:rsid w:val="659764F7"/>
    <w:rsid w:val="668641E5"/>
    <w:rsid w:val="691507DE"/>
    <w:rsid w:val="6BCC2FDC"/>
    <w:rsid w:val="733F28AB"/>
    <w:rsid w:val="76A038F3"/>
    <w:rsid w:val="77BB389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3383</Words>
  <Characters>3656</Characters>
  <Lines>0</Lines>
  <Paragraphs>0</Paragraphs>
  <TotalTime>53</TotalTime>
  <ScaleCrop>false</ScaleCrop>
  <LinksUpToDate>false</LinksUpToDate>
  <CharactersWithSpaces>3711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辟邪</cp:lastModifiedBy>
  <cp:lastPrinted>2024-12-12T07:48:00Z</cp:lastPrinted>
  <dcterms:modified xsi:type="dcterms:W3CDTF">2025-02-08T01:43:35Z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8B0EC168E4FF480891429ED98CD07B8C_13</vt:lpwstr>
  </property>
  <property fmtid="{D5CDD505-2E9C-101B-9397-08002B2CF9AE}" pid="4" name="KSOTemplateDocerSaveRecord">
    <vt:lpwstr>eyJoZGlkIjoiM2I3YTYyMTA5NmEyZDc2MDc1MzNiODM0ZTM1NmNjMzgiLCJ1c2VySWQiOiI1OTUzNTk4MjkifQ==</vt:lpwstr>
  </property>
</Properties>
</file>