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第四小学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赣州市南康区第四小学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赣州市南康区第四小学202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赣州市南康区第四小学202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2C00E86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7BCD064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0F68002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第四小学</w:t>
      </w:r>
      <w:r>
        <w:rPr>
          <w:rFonts w:hint="eastAsia" w:ascii="黑体" w:hAnsi="黑体" w:eastAsia="黑体" w:cs="黑体"/>
          <w:b w:val="0"/>
          <w:bCs/>
          <w:sz w:val="32"/>
          <w:szCs w:val="30"/>
        </w:rPr>
        <w:t>概况</w:t>
      </w:r>
    </w:p>
    <w:p w14:paraId="7C1496D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黑体" w:hAnsi="黑体" w:eastAsia="黑体"/>
          <w:sz w:val="32"/>
          <w:szCs w:val="32"/>
          <w:lang w:eastAsia="zh-CN"/>
        </w:rPr>
      </w:pPr>
    </w:p>
    <w:p w14:paraId="635883F7">
      <w:pPr>
        <w:adjustRightInd w:val="0"/>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一、部门主要职责</w:t>
      </w:r>
    </w:p>
    <w:p w14:paraId="1402C76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赣州市南康区第四小学，正股级单位，主要职责是：</w:t>
      </w:r>
    </w:p>
    <w:p w14:paraId="339D7F0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（一）实施小学义务教育，促进基础教育发展；</w:t>
      </w:r>
    </w:p>
    <w:p w14:paraId="14E3349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（二）开展丰富的教育教学活动</w:t>
      </w:r>
      <w:r>
        <w:rPr>
          <w:rFonts w:hint="eastAsia" w:ascii="仿宋" w:hAnsi="仿宋" w:eastAsia="仿宋" w:cs="仿宋"/>
          <w:kern w:val="2"/>
          <w:sz w:val="32"/>
          <w:szCs w:val="30"/>
          <w:lang w:val="en-US" w:eastAsia="zh-CN"/>
        </w:rPr>
        <w:t>,促进学生全面发展；</w:t>
      </w:r>
    </w:p>
    <w:p w14:paraId="4DA1926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（三）开展小学学历教育及相关社会服务。</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700E96C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11</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党政办、德育处、大队部、教导处、教研处、校安办、总务处、信息中心、资助中心、艺体中心、幼教办。</w:t>
      </w:r>
    </w:p>
    <w:p w14:paraId="2AC8647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355</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355</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355</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355</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355</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7529</w:t>
      </w:r>
      <w:r>
        <w:rPr>
          <w:rFonts w:hint="eastAsia" w:ascii="仿宋" w:hAnsi="仿宋" w:eastAsia="仿宋" w:cs="仿宋"/>
          <w:kern w:val="2"/>
          <w:sz w:val="32"/>
          <w:szCs w:val="30"/>
          <w:lang w:eastAsia="zh-CN"/>
        </w:rPr>
        <w:t>人。</w:t>
      </w:r>
    </w:p>
    <w:p w14:paraId="78A259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第四小学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6916F7C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4E62A62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1878D315">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第四小学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w:t>
      </w:r>
    </w:p>
    <w:p w14:paraId="1C75F91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3840" w:firstLineChars="1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7AF2FBB0">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赣州市南康区第四小学收入预算总额为</w:t>
      </w:r>
      <w:r>
        <w:rPr>
          <w:rFonts w:hint="eastAsia" w:ascii="仿宋" w:hAnsi="仿宋" w:eastAsia="仿宋" w:cs="仿宋"/>
          <w:kern w:val="2"/>
          <w:sz w:val="32"/>
          <w:szCs w:val="30"/>
          <w:lang w:val="en-US" w:eastAsia="zh-CN"/>
        </w:rPr>
        <w:t>6949.92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906.3</w:t>
      </w:r>
      <w:r>
        <w:rPr>
          <w:rFonts w:hint="eastAsia" w:ascii="仿宋" w:hAnsi="仿宋" w:eastAsia="仿宋" w:cs="仿宋"/>
          <w:kern w:val="2"/>
          <w:sz w:val="32"/>
          <w:szCs w:val="30"/>
          <w:lang w:eastAsia="zh-CN"/>
        </w:rPr>
        <w:t>万元，主要原因是教师、学生增加。其中：财政拨款收入</w:t>
      </w:r>
      <w:r>
        <w:rPr>
          <w:rFonts w:hint="eastAsia" w:ascii="仿宋" w:hAnsi="仿宋" w:eastAsia="仿宋" w:cs="仿宋"/>
          <w:kern w:val="2"/>
          <w:sz w:val="32"/>
          <w:szCs w:val="30"/>
          <w:lang w:val="en-US" w:eastAsia="zh-CN"/>
        </w:rPr>
        <w:t>3872.27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607.65</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4B4AAC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398F7EEE">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2025年赣州市南康区第四小学支出预算总额为支出预算总额为</w:t>
      </w:r>
      <w:r>
        <w:rPr>
          <w:rFonts w:hint="eastAsia" w:ascii="仿宋" w:hAnsi="仿宋" w:eastAsia="仿宋" w:cs="仿宋"/>
          <w:kern w:val="2"/>
          <w:sz w:val="32"/>
          <w:szCs w:val="30"/>
          <w:lang w:val="en-US" w:eastAsia="zh-CN"/>
        </w:rPr>
        <w:t>6949.92</w:t>
      </w:r>
      <w:r>
        <w:rPr>
          <w:rFonts w:hint="eastAsia" w:ascii="仿宋" w:hAnsi="仿宋" w:eastAsia="仿宋" w:cs="仿宋"/>
          <w:kern w:val="2"/>
          <w:sz w:val="32"/>
          <w:szCs w:val="30"/>
          <w:lang w:val="en-US" w:eastAsia="zh-CN" w:bidi="ar-SA"/>
        </w:rPr>
        <w:t>万元，较上年预算安排增加（</w:t>
      </w:r>
      <w:r>
        <w:rPr>
          <w:rFonts w:hint="eastAsia" w:ascii="仿宋" w:hAnsi="仿宋" w:eastAsia="仿宋" w:cs="仿宋"/>
          <w:kern w:val="2"/>
          <w:sz w:val="32"/>
          <w:szCs w:val="30"/>
          <w:lang w:val="en-US" w:eastAsia="zh-CN"/>
        </w:rPr>
        <w:t>906.3</w:t>
      </w:r>
      <w:r>
        <w:rPr>
          <w:rFonts w:hint="eastAsia" w:ascii="仿宋" w:hAnsi="仿宋" w:eastAsia="仿宋" w:cs="仿宋"/>
          <w:kern w:val="2"/>
          <w:sz w:val="32"/>
          <w:szCs w:val="30"/>
          <w:lang w:val="en-US" w:eastAsia="zh-CN" w:bidi="ar-SA"/>
        </w:rPr>
        <w:t>万元，主要原因是收入增加。其中：</w:t>
      </w:r>
    </w:p>
    <w:p w14:paraId="03F533A6">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项目类别划分：基本支出3871.77万元，较上年预算安排增加607.65万元，其中：工资福利支出3867.68万元，商品和服务支出0万元，对个人和家庭的补助4.09万元，资本性支出0万元。项目支出3078.15万元，较上年预算安排增加298.65万元，其中：工资福利支出0万元，商品和服务支出2504.5万元，对个人和家庭的补助0万元，资本性支出450万元，对企业补助0万元。</w:t>
      </w:r>
    </w:p>
    <w:p w14:paraId="4D5430B9">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按支出功能科目划分：一般公共服务支出0万元，较上年预算安排增加0万元;教育支出</w:t>
      </w:r>
      <w:r>
        <w:rPr>
          <w:rFonts w:hint="eastAsia" w:ascii="仿宋" w:hAnsi="仿宋" w:eastAsia="仿宋" w:cs="仿宋"/>
          <w:kern w:val="2"/>
          <w:sz w:val="32"/>
          <w:szCs w:val="30"/>
          <w:lang w:val="en-US" w:eastAsia="zh-CN"/>
        </w:rPr>
        <w:t>6949.92</w:t>
      </w:r>
      <w:r>
        <w:rPr>
          <w:rFonts w:hint="eastAsia" w:ascii="仿宋" w:hAnsi="仿宋" w:eastAsia="仿宋" w:cs="仿宋"/>
          <w:kern w:val="2"/>
          <w:sz w:val="32"/>
          <w:szCs w:val="30"/>
          <w:lang w:val="en-US" w:eastAsia="zh-CN" w:bidi="ar-SA"/>
        </w:rPr>
        <w:t>万元，较上年预算安排增加</w:t>
      </w:r>
      <w:r>
        <w:rPr>
          <w:rFonts w:hint="eastAsia" w:ascii="仿宋" w:hAnsi="仿宋" w:eastAsia="仿宋" w:cs="仿宋"/>
          <w:kern w:val="2"/>
          <w:sz w:val="32"/>
          <w:szCs w:val="30"/>
          <w:lang w:val="en-US" w:eastAsia="zh-CN"/>
        </w:rPr>
        <w:t>906.3</w:t>
      </w:r>
      <w:r>
        <w:rPr>
          <w:rFonts w:hint="eastAsia" w:ascii="仿宋" w:hAnsi="仿宋" w:eastAsia="仿宋" w:cs="仿宋"/>
          <w:kern w:val="2"/>
          <w:sz w:val="32"/>
          <w:szCs w:val="30"/>
          <w:lang w:val="en-US" w:eastAsia="zh-CN" w:bidi="ar-SA"/>
        </w:rPr>
        <w:t>万元;科学技术支出0万元，较上年预算安排增加0万元;社会保障和就业支出0万元，较上年预算安排增加0万元;卫生健康支出0万元</w:t>
      </w:r>
      <w:bookmarkStart w:id="0" w:name="_GoBack"/>
      <w:bookmarkEnd w:id="0"/>
      <w:r>
        <w:rPr>
          <w:rFonts w:hint="eastAsia" w:ascii="仿宋" w:hAnsi="仿宋" w:eastAsia="仿宋" w:cs="仿宋"/>
          <w:kern w:val="2"/>
          <w:sz w:val="32"/>
          <w:szCs w:val="30"/>
          <w:lang w:val="en-US" w:eastAsia="zh-CN" w:bidi="ar-SA"/>
        </w:rPr>
        <w:t>，较上年预算安排增加（0万元;农林水支出0万元，较上年预算安排增加0万元;住房保障支出0万元，较上年预算安排增加0万元。</w:t>
      </w:r>
    </w:p>
    <w:p w14:paraId="50CCA31B">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经济分类划分：工资福利支出3867.68万元，较上年预算安排增加603.81万元;商品和服务支出0万元，较上年预算安排增加0万元;对个人和家庭的补助4.09万元，较上年预算安排减少0.66万元;资本性支出0万元，较上年预算安排增加0万元;对企业补助0万元，较上年预算安排增加0万元。</w:t>
      </w:r>
    </w:p>
    <w:p w14:paraId="28E941AD">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05AB18E8">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2025年赣州市南康区第四小学财政拨款支出预算总额为财政拨款支出预算总额3872.27万元，较上年预算安排增加607.65万元，主要原因是教师人数增加。</w:t>
      </w:r>
    </w:p>
    <w:p w14:paraId="2ED8B629">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按支出功能科目划分：一般公共服务支出0万元，教育支出3867.68万元，社会保障和就业支出0万元，卫生健康支出0万元，住房保障支出0万元。</w:t>
      </w:r>
    </w:p>
    <w:p w14:paraId="055BF768">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项目类别划分：基本支出3871.77万元，较上年预算安排增加603.81万元，其中：工资福利支出3867.68万元，商品和服务支出0万元，对个人和家庭的补助4.09万元，资本性支出0万元。项目支出0.5万元，较上年预算安排增加0万元，其中：商品和服务支出0.5万元，对个人和家庭的补助0万元，资本性支出0万元。</w:t>
      </w:r>
    </w:p>
    <w:p w14:paraId="22757E4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3C1DDBD6">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2025年赣州市南康区第四小学没有使用政府性基金预算拨款安排的支出。</w:t>
      </w:r>
    </w:p>
    <w:p w14:paraId="37B1F80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737B385F">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color w:val="auto"/>
          <w:kern w:val="2"/>
          <w:sz w:val="32"/>
          <w:szCs w:val="30"/>
          <w:lang w:val="en-US" w:eastAsia="zh-CN" w:bidi="ar-SA"/>
        </w:rPr>
        <w:t>2025年赣州市南康区第四小学没有使用国有资本经营预算拨款安排的支出。</w:t>
      </w:r>
      <w:r>
        <w:rPr>
          <w:rFonts w:hint="eastAsia" w:ascii="仿宋" w:hAnsi="仿宋" w:eastAsia="仿宋" w:cs="仿宋"/>
          <w:kern w:val="2"/>
          <w:sz w:val="32"/>
          <w:szCs w:val="30"/>
          <w:lang w:val="en-US" w:eastAsia="zh-CN" w:bidi="ar-SA"/>
        </w:rPr>
        <w:fldChar w:fldCharType="begin"/>
      </w:r>
      <w:r>
        <w:rPr>
          <w:rFonts w:hint="eastAsia" w:ascii="仿宋" w:hAnsi="仿宋" w:eastAsia="仿宋" w:cs="仿宋"/>
          <w:kern w:val="2"/>
          <w:sz w:val="32"/>
          <w:szCs w:val="30"/>
          <w:lang w:val="en-US" w:eastAsia="zh-CN" w:bidi="ar-SA"/>
        </w:rPr>
        <w:instrText xml:space="preserve">MERGEFIELD ${page400644146.ds215660413_REP_BGT_T_HC1100002019_DXQ02_JBZCQKGY}</w:instrText>
      </w:r>
      <w:r>
        <w:rPr>
          <w:rFonts w:hint="eastAsia" w:ascii="仿宋" w:hAnsi="仿宋" w:eastAsia="仿宋" w:cs="仿宋"/>
          <w:kern w:val="2"/>
          <w:sz w:val="32"/>
          <w:szCs w:val="30"/>
          <w:lang w:val="en-US" w:eastAsia="zh-CN" w:bidi="ar-SA"/>
        </w:rPr>
        <w:fldChar w:fldCharType="separate"/>
      </w:r>
      <w:r>
        <w:rPr>
          <w:rFonts w:hint="eastAsia" w:ascii="仿宋" w:hAnsi="仿宋" w:eastAsia="仿宋" w:cs="仿宋"/>
          <w:kern w:val="2"/>
          <w:sz w:val="32"/>
          <w:szCs w:val="30"/>
          <w:lang w:val="en-US" w:eastAsia="zh-CN" w:bidi="ar-SA"/>
        </w:rPr>
        <w:fldChar w:fldCharType="end"/>
      </w:r>
      <w:r>
        <w:rPr>
          <w:rFonts w:hint="eastAsia" w:ascii="仿宋" w:hAnsi="仿宋" w:eastAsia="仿宋" w:cs="仿宋"/>
          <w:kern w:val="2"/>
          <w:sz w:val="32"/>
          <w:szCs w:val="30"/>
          <w:lang w:val="en-US" w:eastAsia="zh-CN" w:bidi="ar-SA"/>
        </w:rPr>
        <w:fldChar w:fldCharType="begin"/>
      </w:r>
      <w:r>
        <w:rPr>
          <w:rFonts w:hint="eastAsia" w:ascii="仿宋" w:hAnsi="仿宋" w:eastAsia="仿宋" w:cs="仿宋"/>
          <w:kern w:val="2"/>
          <w:sz w:val="32"/>
          <w:szCs w:val="30"/>
          <w:lang w:val="en-US" w:eastAsia="zh-CN" w:bidi="ar-SA"/>
        </w:rPr>
        <w:instrText xml:space="preserve">MERGEFIELD ${page400644146.ds215660413_REP_BGT_T_HC1100002019_DXQ02_XMZCQKGY}</w:instrText>
      </w:r>
      <w:r>
        <w:rPr>
          <w:rFonts w:hint="eastAsia" w:ascii="仿宋" w:hAnsi="仿宋" w:eastAsia="仿宋" w:cs="仿宋"/>
          <w:kern w:val="2"/>
          <w:sz w:val="32"/>
          <w:szCs w:val="30"/>
          <w:lang w:val="en-US" w:eastAsia="zh-CN" w:bidi="ar-SA"/>
        </w:rPr>
        <w:fldChar w:fldCharType="separate"/>
      </w:r>
      <w:r>
        <w:rPr>
          <w:rFonts w:hint="eastAsia" w:ascii="仿宋" w:hAnsi="仿宋" w:eastAsia="仿宋" w:cs="仿宋"/>
          <w:kern w:val="2"/>
          <w:sz w:val="32"/>
          <w:szCs w:val="30"/>
          <w:lang w:val="en-US" w:eastAsia="zh-CN" w:bidi="ar-SA"/>
        </w:rPr>
        <w:fldChar w:fldCharType="end"/>
      </w:r>
    </w:p>
    <w:p w14:paraId="596C002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3C14EE51">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2025年部门机关运行费预算0万元，比2024年预算增加0万元，增长（下降）0%，主要原因是本部门不是行政单位或参照公务员法管理事业单位，故无机关运行经费支出。</w:t>
      </w:r>
    </w:p>
    <w:p w14:paraId="2E49E89E">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9FE6B86">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BA93EB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2025年赣州市南康区第四小学政府采购总额</w:t>
      </w:r>
      <w:r>
        <w:rPr>
          <w:rFonts w:hint="eastAsia" w:ascii="仿宋" w:hAnsi="仿宋" w:eastAsia="仿宋" w:cs="仿宋"/>
          <w:kern w:val="2"/>
          <w:sz w:val="32"/>
          <w:szCs w:val="30"/>
          <w:lang w:val="en-US" w:eastAsia="zh-CN"/>
        </w:rPr>
        <w:t>350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350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74F16506">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71C94D99">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截至2024年底，本单位共有车辆0辆，其中：一般公务用车实有数0辆，执法执勤用车实有数0辆。</w:t>
      </w:r>
    </w:p>
    <w:p w14:paraId="0A952702">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2025年部门预算安排购置车辆0辆。</w:t>
      </w:r>
    </w:p>
    <w:p w14:paraId="64E53733">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val="en-US" w:eastAsia="zh-CN" w:bidi="ar-SA"/>
        </w:rPr>
      </w:pPr>
      <w:r>
        <w:rPr>
          <w:rFonts w:hint="eastAsia" w:ascii="仿宋" w:hAnsi="仿宋" w:eastAsia="仿宋" w:cs="仿宋"/>
          <w:color w:val="auto"/>
          <w:kern w:val="2"/>
          <w:sz w:val="32"/>
          <w:szCs w:val="30"/>
          <w:lang w:val="en-US" w:eastAsia="zh-CN" w:bidi="ar-SA"/>
        </w:rPr>
        <w:t>2025年未安排购置单位价值200万元以上大型设备。</w:t>
      </w:r>
      <w:r>
        <w:rPr>
          <w:rFonts w:hint="eastAsia" w:ascii="仿宋" w:hAnsi="仿宋" w:eastAsia="仿宋" w:cs="仿宋"/>
          <w:color w:val="FF0000"/>
          <w:kern w:val="2"/>
          <w:sz w:val="32"/>
          <w:szCs w:val="30"/>
          <w:lang w:val="en-US" w:eastAsia="zh-CN" w:bidi="ar-SA"/>
        </w:rPr>
        <w:t xml:space="preserve"> </w:t>
      </w:r>
    </w:p>
    <w:p w14:paraId="6565B87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保教费</w:t>
      </w:r>
      <w:r>
        <w:rPr>
          <w:rStyle w:val="7"/>
          <w:rFonts w:hint="eastAsia" w:ascii="楷体" w:hAnsi="楷体" w:eastAsia="楷体" w:cs="楷体"/>
          <w:b/>
          <w:sz w:val="32"/>
          <w:szCs w:val="32"/>
        </w:rPr>
        <w:t>项目情况说明</w:t>
      </w:r>
    </w:p>
    <w:p w14:paraId="1261142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保教费项目</w:t>
      </w:r>
    </w:p>
    <w:p w14:paraId="200EA84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p>
    <w:p w14:paraId="245BE11D">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辖区公办园保教费主要包括教职工工资、津贴、补贴及福利、社会保障支出、办公费、业务费、修缮费等正常办园费用的支出。</w:t>
      </w:r>
    </w:p>
    <w:p w14:paraId="2DB5A1B6">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w:t>
      </w:r>
    </w:p>
    <w:p w14:paraId="0647314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幼儿园的保教费是按照国家发展改革委、教育部、财政部印发的《幼儿园收费管理暂行办法》发改价格〔2011〕3207号中“第三条学前教育属于非义务教育，幼儿园可向入园幼儿收取保育教育费”。</w:t>
      </w:r>
    </w:p>
    <w:p w14:paraId="6220E67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w:t>
      </w:r>
    </w:p>
    <w:p w14:paraId="4F54570F">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赣州市南康区第四小学</w:t>
      </w:r>
    </w:p>
    <w:p w14:paraId="5C374F7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p>
    <w:p w14:paraId="69264F7D">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积极促进辖区公办园发展，改善办园条件，按规定配备相应的办园设施设备，提高幼儿园保教质量，确保幼儿园实现良性运行，促进学前教育健康发展。</w:t>
      </w:r>
    </w:p>
    <w:p w14:paraId="2FD1B2AF">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（5）实施周期</w:t>
      </w:r>
    </w:p>
    <w:p w14:paraId="20FC7CE6">
      <w:pPr>
        <w:keepNext w:val="0"/>
        <w:keepLines w:val="0"/>
        <w:pageBreakBefore w:val="0"/>
        <w:widowControl/>
        <w:kinsoku/>
        <w:wordWrap/>
        <w:overflowPunct/>
        <w:topLinePunct w:val="0"/>
        <w:autoSpaceDE/>
        <w:autoSpaceDN/>
        <w:bidi w:val="0"/>
        <w:spacing w:line="520" w:lineRule="exact"/>
        <w:ind w:firstLine="960" w:firstLineChars="3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年1月1日至202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年12月31日，为期1年。</w:t>
      </w:r>
    </w:p>
    <w:p w14:paraId="56BA4EB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（6）年度预算安排</w:t>
      </w:r>
    </w:p>
    <w:p w14:paraId="36B30F53">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本年度预算安排：</w:t>
      </w:r>
      <w:r>
        <w:rPr>
          <w:rFonts w:hint="eastAsia" w:ascii="仿宋" w:hAnsi="仿宋" w:eastAsia="仿宋" w:cs="仿宋"/>
          <w:kern w:val="2"/>
          <w:sz w:val="32"/>
          <w:szCs w:val="30"/>
          <w:lang w:val="en-US" w:eastAsia="zh-CN"/>
        </w:rPr>
        <w:t>299</w:t>
      </w:r>
      <w:r>
        <w:rPr>
          <w:rFonts w:hint="eastAsia" w:ascii="仿宋" w:hAnsi="仿宋" w:eastAsia="仿宋" w:cs="仿宋"/>
          <w:kern w:val="2"/>
          <w:sz w:val="32"/>
          <w:szCs w:val="30"/>
          <w:lang w:eastAsia="zh-CN"/>
        </w:rPr>
        <w:t>万元</w:t>
      </w:r>
    </w:p>
    <w:p w14:paraId="173F25B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（7）绩效目标和指标</w:t>
      </w:r>
    </w:p>
    <w:p w14:paraId="5BCA807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改善幼儿在园环境，提升办学条件，保障幼儿园有序运转；学生家长、教师满意度达85%以上。</w:t>
      </w:r>
    </w:p>
    <w:p w14:paraId="5720BEE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0906BB82">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2025年赣州市南康区第四小学"三公"经费一般公共预算安排0.5万元，较少年增加0万元，其中：</w:t>
      </w:r>
    </w:p>
    <w:p w14:paraId="7B965B65">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因公出国0万元，比上年增加0万元，主要原因是：未安排因公出国费用。</w:t>
      </w:r>
    </w:p>
    <w:p w14:paraId="42276B22">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公务接待0.5万元，比上年增加0万元，主要原因是：无增加。</w:t>
      </w:r>
    </w:p>
    <w:p w14:paraId="6094D70B">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公务用车运行0万元，比上年增（减）0万元，主要原因是：本单位无公务车辆。</w:t>
      </w:r>
    </w:p>
    <w:p w14:paraId="65EBB0B4">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公务用车购置0万元，比上年增（减）0万元，主要原因是：</w:t>
      </w:r>
      <w:r>
        <w:rPr>
          <w:rFonts w:hint="eastAsia" w:ascii="仿宋" w:hAnsi="仿宋" w:eastAsia="仿宋" w:cs="Times New Roman"/>
          <w:kern w:val="0"/>
          <w:sz w:val="32"/>
          <w:szCs w:val="32"/>
          <w:lang w:val="en-US" w:eastAsia="zh-CN" w:bidi="ar-SA"/>
        </w:rPr>
        <w:t>2025年本单位无计划购置公务车辆</w:t>
      </w:r>
      <w:r>
        <w:rPr>
          <w:rFonts w:hint="eastAsia" w:ascii="仿宋" w:hAnsi="仿宋" w:eastAsia="仿宋" w:cs="仿宋"/>
          <w:kern w:val="2"/>
          <w:sz w:val="32"/>
          <w:szCs w:val="30"/>
          <w:lang w:val="en-US" w:eastAsia="zh-CN" w:bidi="ar-SA"/>
        </w:rPr>
        <w:t>。</w:t>
      </w:r>
    </w:p>
    <w:p w14:paraId="65B80683">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406AF7D6">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eastAsia="zh-CN"/>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6DBDD019">
      <w:pPr>
        <w:widowControl/>
        <w:shd w:val="clear" w:color="auto" w:fill="FFFFFF"/>
        <w:spacing w:line="520" w:lineRule="exact"/>
        <w:ind w:firstLine="643" w:firstLineChars="200"/>
        <w:jc w:val="left"/>
        <w:rPr>
          <w:rFonts w:hint="eastAsia" w:ascii="黑体" w:hAnsi="黑体" w:eastAsia="黑体" w:cs="黑体"/>
          <w:sz w:val="32"/>
          <w:szCs w:val="32"/>
        </w:rPr>
      </w:pPr>
      <w:r>
        <w:rPr>
          <w:rFonts w:hint="eastAsia" w:ascii="楷体" w:hAnsi="楷体" w:eastAsia="楷体" w:cs="楷体"/>
          <w:b/>
          <w:bCs/>
          <w:kern w:val="2"/>
          <w:sz w:val="32"/>
          <w:szCs w:val="30"/>
          <w:lang w:val="en-US" w:eastAsia="zh-CN" w:bidi="ar-SA"/>
        </w:rPr>
        <w:t>（一）</w:t>
      </w:r>
      <w:r>
        <w:rPr>
          <w:rStyle w:val="7"/>
          <w:rFonts w:hint="eastAsia" w:ascii="楷体" w:hAnsi="楷体" w:eastAsia="楷体" w:cs="楷体"/>
          <w:b/>
          <w:kern w:val="2"/>
          <w:sz w:val="32"/>
          <w:szCs w:val="32"/>
          <w:lang w:val="en-US" w:eastAsia="zh-CN" w:bidi="ar-SA"/>
        </w:rPr>
        <w:t>行政运行：</w:t>
      </w:r>
      <w:r>
        <w:rPr>
          <w:rFonts w:hint="eastAsia" w:ascii="仿宋" w:hAnsi="仿宋" w:eastAsia="仿宋" w:cs="仿宋"/>
          <w:kern w:val="2"/>
          <w:sz w:val="32"/>
          <w:szCs w:val="30"/>
          <w:lang w:val="en-US" w:eastAsia="zh-CN" w:bidi="ar-SA"/>
        </w:rPr>
        <w:t>反映行政单位（包括实行公务员管理的事业单位）的基本支出。</w:t>
      </w:r>
    </w:p>
    <w:p w14:paraId="25E544F2">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（二）一般行政管理事务：</w:t>
      </w:r>
      <w:r>
        <w:rPr>
          <w:rFonts w:hint="eastAsia" w:ascii="仿宋" w:hAnsi="仿宋" w:eastAsia="仿宋" w:cs="仿宋"/>
          <w:kern w:val="2"/>
          <w:sz w:val="32"/>
          <w:szCs w:val="30"/>
          <w:lang w:val="en-US" w:eastAsia="zh-CN" w:bidi="ar-SA"/>
        </w:rPr>
        <w:t>反映行政单位（包括实行公务员管理的事业单位）未单独设置项级科目的其他项目支出。</w:t>
      </w:r>
    </w:p>
    <w:p w14:paraId="6792C71C">
      <w:pPr>
        <w:widowControl/>
        <w:shd w:val="clear" w:color="auto" w:fill="FFFFFF"/>
        <w:spacing w:line="520" w:lineRule="exact"/>
        <w:ind w:firstLine="643" w:firstLineChars="200"/>
        <w:jc w:val="left"/>
        <w:rPr>
          <w:rFonts w:hint="eastAsia" w:ascii="黑体" w:hAnsi="黑体" w:eastAsia="黑体" w:cs="黑体"/>
          <w:sz w:val="32"/>
          <w:szCs w:val="32"/>
        </w:rPr>
      </w:pPr>
      <w:r>
        <w:rPr>
          <w:rFonts w:hint="eastAsia" w:ascii="楷体" w:hAnsi="楷体" w:eastAsia="楷体" w:cs="楷体"/>
          <w:b/>
          <w:bCs/>
          <w:kern w:val="2"/>
          <w:sz w:val="32"/>
          <w:szCs w:val="30"/>
          <w:lang w:val="en-US" w:eastAsia="zh-CN" w:bidi="ar-SA"/>
        </w:rPr>
        <w:t>（三）事业运行：</w:t>
      </w:r>
      <w:r>
        <w:rPr>
          <w:rFonts w:hint="eastAsia" w:ascii="仿宋" w:hAnsi="仿宋" w:eastAsia="仿宋" w:cs="仿宋"/>
          <w:kern w:val="2"/>
          <w:sz w:val="32"/>
          <w:szCs w:val="30"/>
          <w:lang w:val="en-US" w:eastAsia="zh-CN" w:bidi="ar-SA"/>
        </w:rPr>
        <w:t>反映事业单位的基本支出。</w:t>
      </w:r>
    </w:p>
    <w:p w14:paraId="04ED7D27">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（四）机关事业单位基本养老保险缴费支出：</w:t>
      </w:r>
      <w:r>
        <w:rPr>
          <w:rFonts w:hint="eastAsia" w:ascii="仿宋" w:hAnsi="仿宋" w:eastAsia="仿宋" w:cs="仿宋"/>
          <w:kern w:val="2"/>
          <w:sz w:val="32"/>
          <w:szCs w:val="30"/>
          <w:lang w:val="en-US" w:eastAsia="zh-CN" w:bidi="ar-SA"/>
        </w:rPr>
        <w:t>反映机关事业单位实施养老保险制度由单位缴纳的基本养老保险费的支出。</w:t>
      </w:r>
    </w:p>
    <w:p w14:paraId="25E6FDF0">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（五）行政单位医疗：</w:t>
      </w:r>
      <w:r>
        <w:rPr>
          <w:rFonts w:hint="eastAsia" w:ascii="仿宋" w:hAnsi="仿宋" w:eastAsia="仿宋" w:cs="仿宋"/>
          <w:kern w:val="2"/>
          <w:sz w:val="32"/>
          <w:szCs w:val="30"/>
          <w:lang w:val="en-US" w:eastAsia="zh-CN" w:bidi="ar-SA"/>
        </w:rPr>
        <w:t>反映财政部门安排的行政单位（包括实行公务员管理的事业单位）基本医疗保险缴费经费。</w:t>
      </w:r>
    </w:p>
    <w:p w14:paraId="29A89F94">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（六）事业单位医疗：</w:t>
      </w:r>
      <w:r>
        <w:rPr>
          <w:rFonts w:hint="eastAsia" w:ascii="仿宋" w:hAnsi="仿宋" w:eastAsia="仿宋" w:cs="仿宋"/>
          <w:kern w:val="2"/>
          <w:sz w:val="32"/>
          <w:szCs w:val="30"/>
          <w:lang w:val="en-US" w:eastAsia="zh-CN" w:bidi="ar-SA"/>
        </w:rPr>
        <w:t>反映财政部门安排的事业单位基本医疗保险缴费经费。</w:t>
      </w: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7BC6C3F6">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（一）“三公”经费：</w:t>
      </w:r>
      <w:r>
        <w:rPr>
          <w:rFonts w:hint="eastAsia" w:ascii="仿宋" w:hAnsi="仿宋" w:eastAsia="仿宋" w:cs="仿宋"/>
          <w:kern w:val="2"/>
          <w:sz w:val="32"/>
          <w:szCs w:val="30"/>
          <w:lang w:val="en-US" w:eastAsia="zh-CN" w:bidi="ar-SA"/>
        </w:rPr>
        <w:t>纳入预算管理的“三公”经费，是指用财政拨款安排的因公出国（境)费、公务用车购置及运行费和公务接待费。</w:t>
      </w:r>
    </w:p>
    <w:p w14:paraId="1358BE2A">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（二）机关运行经费：</w:t>
      </w:r>
      <w:r>
        <w:rPr>
          <w:rFonts w:hint="eastAsia" w:ascii="仿宋" w:hAnsi="仿宋" w:eastAsia="仿宋" w:cs="仿宋"/>
          <w:kern w:val="2"/>
          <w:sz w:val="32"/>
          <w:szCs w:val="30"/>
          <w:lang w:val="en-US" w:eastAsia="zh-CN" w:bidi="ar-SA"/>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84063B">
      <w:pPr>
        <w:widowControl/>
        <w:shd w:val="clear" w:color="auto" w:fill="FFFFFF"/>
        <w:spacing w:line="520" w:lineRule="exact"/>
        <w:ind w:firstLine="640" w:firstLineChars="200"/>
        <w:jc w:val="left"/>
        <w:rPr>
          <w:rFonts w:hint="eastAsia" w:ascii="黑体" w:hAnsi="黑体" w:eastAsia="黑体" w:cs="黑体"/>
          <w:sz w:val="32"/>
          <w:szCs w:val="32"/>
        </w:rPr>
      </w:pPr>
    </w:p>
    <w:p w14:paraId="39EFEF62">
      <w:pPr>
        <w:widowControl/>
        <w:shd w:val="clear" w:color="auto" w:fill="FFFFFF"/>
        <w:spacing w:line="520" w:lineRule="exact"/>
        <w:ind w:firstLine="640" w:firstLineChars="200"/>
        <w:jc w:val="left"/>
        <w:rPr>
          <w:rFonts w:hint="eastAsia" w:ascii="黑体" w:hAnsi="黑体" w:eastAsia="黑体" w:cs="黑体"/>
          <w:sz w:val="32"/>
          <w:szCs w:val="32"/>
        </w:rPr>
      </w:pPr>
    </w:p>
    <w:p w14:paraId="6EDAF748">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AAB0E"/>
    <w:multiLevelType w:val="singleLevel"/>
    <w:tmpl w:val="5D6AAB0E"/>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23A00D0"/>
    <w:rsid w:val="02D52B76"/>
    <w:rsid w:val="03446271"/>
    <w:rsid w:val="03521846"/>
    <w:rsid w:val="0781151E"/>
    <w:rsid w:val="09B361AA"/>
    <w:rsid w:val="0A75674B"/>
    <w:rsid w:val="0AD56085"/>
    <w:rsid w:val="0DCE3C4C"/>
    <w:rsid w:val="0F1F58A5"/>
    <w:rsid w:val="12F0682B"/>
    <w:rsid w:val="1A3366A8"/>
    <w:rsid w:val="1AA1373B"/>
    <w:rsid w:val="1C93342E"/>
    <w:rsid w:val="20D02B5C"/>
    <w:rsid w:val="216B3C95"/>
    <w:rsid w:val="27201D62"/>
    <w:rsid w:val="29A66259"/>
    <w:rsid w:val="2D6D7833"/>
    <w:rsid w:val="2D9F180A"/>
    <w:rsid w:val="2ED52685"/>
    <w:rsid w:val="2EEC5F63"/>
    <w:rsid w:val="317C672F"/>
    <w:rsid w:val="361F021D"/>
    <w:rsid w:val="368C578D"/>
    <w:rsid w:val="36C2414F"/>
    <w:rsid w:val="377E58E4"/>
    <w:rsid w:val="397A17A6"/>
    <w:rsid w:val="39A569E9"/>
    <w:rsid w:val="3A331955"/>
    <w:rsid w:val="3C635260"/>
    <w:rsid w:val="3D1C71FD"/>
    <w:rsid w:val="3E1E5A5E"/>
    <w:rsid w:val="3F8A2AD8"/>
    <w:rsid w:val="416650F7"/>
    <w:rsid w:val="427933F8"/>
    <w:rsid w:val="44110F59"/>
    <w:rsid w:val="48AC1852"/>
    <w:rsid w:val="4B4439C2"/>
    <w:rsid w:val="4B8D35BB"/>
    <w:rsid w:val="4C5F6C91"/>
    <w:rsid w:val="4CB12166"/>
    <w:rsid w:val="4DFA480C"/>
    <w:rsid w:val="50622BE2"/>
    <w:rsid w:val="54A43723"/>
    <w:rsid w:val="578A6C00"/>
    <w:rsid w:val="583E5B2C"/>
    <w:rsid w:val="598F4A10"/>
    <w:rsid w:val="5CF176E9"/>
    <w:rsid w:val="60003F04"/>
    <w:rsid w:val="61930DA7"/>
    <w:rsid w:val="691507DE"/>
    <w:rsid w:val="69514CE9"/>
    <w:rsid w:val="6BCC2FDC"/>
    <w:rsid w:val="6E441F2F"/>
    <w:rsid w:val="704E1B94"/>
    <w:rsid w:val="733F28AB"/>
    <w:rsid w:val="736E6F7E"/>
    <w:rsid w:val="76A038F3"/>
    <w:rsid w:val="77ED2B68"/>
    <w:rsid w:val="7DD32800"/>
    <w:rsid w:val="7E635932"/>
    <w:rsid w:val="7ED607F9"/>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3454</Words>
  <Characters>3702</Characters>
  <Lines>0</Lines>
  <Paragraphs>0</Paragraphs>
  <TotalTime>0</TotalTime>
  <ScaleCrop>false</ScaleCrop>
  <LinksUpToDate>false</LinksUpToDate>
  <CharactersWithSpaces>3724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蓝伟</cp:lastModifiedBy>
  <cp:lastPrinted>2024-02-19T02:53:00Z</cp:lastPrinted>
  <dcterms:modified xsi:type="dcterms:W3CDTF">2025-02-06T08:13:09Z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7B4FE357F2DB4E35BBB082E44F6E6A10_13</vt:lpwstr>
  </property>
  <property fmtid="{D5CDD505-2E9C-101B-9397-08002B2CF9AE}" pid="4" name="KSOTemplateDocerSaveRecord">
    <vt:lpwstr>eyJoZGlkIjoiYTI2ODNhYjI3N2E5NjFhOGM2Yjc5NjYxMGYzMWFjYTMiLCJ1c2VySWQiOiI2NTIyODgyNzQifQ==</vt:lpwstr>
  </property>
</Properties>
</file>