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6C293">
      <w:pPr>
        <w:keepNext w:val="0"/>
        <w:keepLines w:val="0"/>
        <w:pageBreakBefore w:val="0"/>
        <w:kinsoku/>
        <w:wordWrap/>
        <w:overflowPunct/>
        <w:topLinePunct w:val="0"/>
        <w:autoSpaceDE/>
        <w:autoSpaceDN/>
        <w:bidi w:val="0"/>
        <w:adjustRightInd w:val="0"/>
        <w:snapToGrid w:val="0"/>
        <w:spacing w:line="540" w:lineRule="atLeas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龙华中学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40" w:lineRule="atLeas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40" w:lineRule="atLeas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龙华中学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40" w:lineRule="atLeas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龙华中学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40" w:lineRule="atLeas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龙华中学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5F7E1B7A">
      <w:pPr>
        <w:keepNext w:val="0"/>
        <w:keepLines w:val="0"/>
        <w:pageBreakBefore w:val="0"/>
        <w:numPr>
          <w:ilvl w:val="0"/>
          <w:numId w:val="1"/>
        </w:numPr>
        <w:kinsoku/>
        <w:wordWrap/>
        <w:overflowPunct/>
        <w:topLinePunct w:val="0"/>
        <w:autoSpaceDE/>
        <w:autoSpaceDN/>
        <w:bidi w:val="0"/>
        <w:spacing w:line="540" w:lineRule="atLeas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龙华中学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atLeas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5E9296D">
      <w:pPr>
        <w:keepNext w:val="0"/>
        <w:keepLines w:val="0"/>
        <w:pageBreakBefore w:val="0"/>
        <w:widowControl/>
        <w:kinsoku/>
        <w:wordWrap/>
        <w:overflowPunct/>
        <w:topLinePunct w:val="0"/>
        <w:autoSpaceDE/>
        <w:autoSpaceDN/>
        <w:bidi w:val="0"/>
        <w:spacing w:line="540" w:lineRule="atLeas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赣州市南康区龙华中学是赣州市南康区教育体育局从事初中教育工作的下属单位，主要职责是：</w:t>
      </w:r>
    </w:p>
    <w:p w14:paraId="3387CF35">
      <w:pPr>
        <w:keepNext w:val="0"/>
        <w:keepLines w:val="0"/>
        <w:pageBreakBefore w:val="0"/>
        <w:widowControl/>
        <w:kinsoku/>
        <w:wordWrap/>
        <w:overflowPunct/>
        <w:topLinePunct w:val="0"/>
        <w:autoSpaceDE/>
        <w:autoSpaceDN/>
        <w:bidi w:val="0"/>
        <w:spacing w:line="540" w:lineRule="atLeas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（一）宣传贯彻执行党和国家的教育方针、教育政策、教育法律和法规，贯彻执行上级教育行政部门的各项规章制度。</w:t>
      </w:r>
    </w:p>
    <w:p w14:paraId="1AF98642">
      <w:pPr>
        <w:keepNext w:val="0"/>
        <w:keepLines w:val="0"/>
        <w:pageBreakBefore w:val="0"/>
        <w:widowControl/>
        <w:kinsoku/>
        <w:wordWrap/>
        <w:overflowPunct/>
        <w:topLinePunct w:val="0"/>
        <w:autoSpaceDE/>
        <w:autoSpaceDN/>
        <w:bidi w:val="0"/>
        <w:spacing w:line="540" w:lineRule="atLeas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（二）在政府和上级教育主管部门的领导下，争取资金改善办学条件，为师生的学习和工作提供优美和谐的环境。</w:t>
      </w:r>
    </w:p>
    <w:p w14:paraId="6779442C">
      <w:pPr>
        <w:keepNext w:val="0"/>
        <w:keepLines w:val="0"/>
        <w:pageBreakBefore w:val="0"/>
        <w:widowControl/>
        <w:kinsoku/>
        <w:wordWrap/>
        <w:overflowPunct/>
        <w:topLinePunct w:val="0"/>
        <w:autoSpaceDE/>
        <w:autoSpaceDN/>
        <w:bidi w:val="0"/>
        <w:spacing w:line="540" w:lineRule="atLeas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在政府的领导下，全面开展普及九年义务教育，组织教师动员适龄儿童少年就近入学。按照九年义务教育课程计划开启课程，开足课时，认真实施中小学教育教学管理，全面推进素质教育，全面提高教育教学质量。</w:t>
      </w:r>
    </w:p>
    <w:p w14:paraId="27702851">
      <w:pPr>
        <w:keepNext w:val="0"/>
        <w:keepLines w:val="0"/>
        <w:pageBreakBefore w:val="0"/>
        <w:widowControl/>
        <w:kinsoku/>
        <w:wordWrap/>
        <w:overflowPunct/>
        <w:topLinePunct w:val="0"/>
        <w:autoSpaceDE/>
        <w:autoSpaceDN/>
        <w:bidi w:val="0"/>
        <w:spacing w:line="540" w:lineRule="atLeas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（四）按照上级有关部门的规定，负责对本校财务和项目建设进行管理，负责核算和发放教职工工资。</w:t>
      </w:r>
    </w:p>
    <w:p w14:paraId="5D95F538">
      <w:pPr>
        <w:keepNext w:val="0"/>
        <w:keepLines w:val="0"/>
        <w:pageBreakBefore w:val="0"/>
        <w:widowControl w:val="0"/>
        <w:kinsoku/>
        <w:wordWrap/>
        <w:overflowPunct/>
        <w:topLinePunct w:val="0"/>
        <w:autoSpaceDE/>
        <w:autoSpaceDN/>
        <w:bidi w:val="0"/>
        <w:spacing w:line="540" w:lineRule="atLeas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5D5FB594">
      <w:pPr>
        <w:keepNext w:val="0"/>
        <w:keepLines w:val="0"/>
        <w:pageBreakBefore w:val="0"/>
        <w:kinsoku/>
        <w:wordWrap/>
        <w:overflowPunct/>
        <w:topLinePunct w:val="0"/>
        <w:autoSpaceDE/>
        <w:autoSpaceDN/>
        <w:bidi w:val="0"/>
        <w:spacing w:line="54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0"/>
        </w:rPr>
        <w:t>本单位设立5个内设机构，分别是：</w:t>
      </w:r>
      <w:r>
        <w:rPr>
          <w:rFonts w:hint="eastAsia" w:ascii="仿宋" w:hAnsi="仿宋" w:eastAsia="仿宋" w:cs="仿宋"/>
          <w:sz w:val="32"/>
          <w:szCs w:val="32"/>
        </w:rPr>
        <w:t>教导处、政治处、总务处、团支部、党政办。</w:t>
      </w:r>
    </w:p>
    <w:p w14:paraId="44D40F2D">
      <w:pPr>
        <w:keepNext w:val="0"/>
        <w:keepLines w:val="0"/>
        <w:pageBreakBefore w:val="0"/>
        <w:kinsoku/>
        <w:wordWrap/>
        <w:overflowPunct/>
        <w:topLinePunct w:val="0"/>
        <w:autoSpaceDE/>
        <w:autoSpaceDN/>
        <w:bidi w:val="0"/>
        <w:spacing w:line="540" w:lineRule="atLeast"/>
        <w:ind w:firstLine="640" w:firstLineChars="200"/>
        <w:textAlignment w:val="auto"/>
        <w:rPr>
          <w:rFonts w:ascii="仿宋" w:hAnsi="仿宋" w:eastAsia="仿宋" w:cs="仿宋"/>
        </w:rPr>
      </w:pPr>
      <w:r>
        <w:rPr>
          <w:rFonts w:hint="eastAsia" w:ascii="仿宋" w:hAnsi="仿宋" w:eastAsia="仿宋" w:cs="仿宋"/>
          <w:sz w:val="32"/>
          <w:szCs w:val="30"/>
        </w:rPr>
        <w:t>本单位编制人数小计56人，其中：行政编制人数0人，参照公务员管理的事业编制人数0人，全额补助事业编制人数56人，自收自支编制人数0人。本单位实有人数小计148人，其中：在职人数小计56人，行政在职人数0人，参照公务员管理的事业单位在职人数0人，全额补助事业在职人数56人。离休人数0人，退休人数87人，退职人数5人，遗属人数0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${page400644146.ds532982397_REP_JX_BAS_AGENCY_INFO_ZYFRS_S_ZXXSMX}</w:instrText>
      </w:r>
      <w:r>
        <w:rPr>
          <w:rFonts w:hint="eastAsia" w:ascii="仿宋" w:hAnsi="仿宋" w:eastAsia="仿宋" w:cs="仿宋"/>
          <w:sz w:val="32"/>
          <w:szCs w:val="32"/>
        </w:rPr>
        <w:fldChar w:fldCharType="separate"/>
      </w:r>
      <w:r>
        <w:rPr>
          <w:rFonts w:hint="eastAsia" w:ascii="仿宋" w:hAnsi="仿宋" w:eastAsia="仿宋" w:cs="仿宋"/>
          <w:sz w:val="32"/>
          <w:szCs w:val="32"/>
        </w:rPr>
        <w:t>在校学生</w:t>
      </w:r>
      <w:r>
        <w:rPr>
          <w:rFonts w:hint="eastAsia" w:ascii="仿宋" w:hAnsi="仿宋" w:eastAsia="仿宋" w:cs="仿宋"/>
          <w:kern w:val="0"/>
          <w:sz w:val="32"/>
          <w:szCs w:val="32"/>
        </w:rPr>
        <w:t>537</w:t>
      </w:r>
      <w:r>
        <w:rPr>
          <w:rFonts w:hint="eastAsia" w:ascii="仿宋" w:hAnsi="仿宋" w:eastAsia="仿宋" w:cs="仿宋"/>
          <w:sz w:val="32"/>
          <w:szCs w:val="32"/>
        </w:rPr>
        <w:t>人,其中：本科生人数</w:t>
      </w:r>
      <w:r>
        <w:rPr>
          <w:rFonts w:hint="eastAsia" w:ascii="仿宋" w:hAnsi="仿宋" w:eastAsia="仿宋" w:cs="仿宋"/>
          <w:kern w:val="0"/>
          <w:sz w:val="32"/>
          <w:szCs w:val="32"/>
        </w:rPr>
        <w:t>0</w:t>
      </w:r>
      <w:r>
        <w:rPr>
          <w:rFonts w:hint="eastAsia" w:ascii="仿宋" w:hAnsi="仿宋" w:eastAsia="仿宋" w:cs="仿宋"/>
          <w:sz w:val="32"/>
          <w:szCs w:val="32"/>
        </w:rPr>
        <w:t>人，专科生人数</w:t>
      </w:r>
      <w:r>
        <w:rPr>
          <w:rFonts w:hint="eastAsia" w:ascii="仿宋" w:hAnsi="仿宋" w:eastAsia="仿宋" w:cs="仿宋"/>
          <w:kern w:val="0"/>
          <w:sz w:val="32"/>
          <w:szCs w:val="32"/>
        </w:rPr>
        <w:t>0</w:t>
      </w:r>
      <w:r>
        <w:rPr>
          <w:rFonts w:hint="eastAsia" w:ascii="仿宋" w:hAnsi="仿宋" w:eastAsia="仿宋" w:cs="仿宋"/>
          <w:sz w:val="32"/>
          <w:szCs w:val="32"/>
        </w:rPr>
        <w:t>人，</w:t>
      </w:r>
      <w:r>
        <w:rPr>
          <w:rFonts w:hint="eastAsia" w:ascii="仿宋" w:hAnsi="仿宋" w:eastAsia="仿宋"/>
          <w:sz w:val="32"/>
          <w:szCs w:val="32"/>
        </w:rPr>
        <w:t>中等专业学生0人，高中生0人，初中生537人，小学生0人</w:t>
      </w:r>
      <w:r>
        <w:rPr>
          <w:rFonts w:hint="eastAsia" w:ascii="仿宋" w:hAnsi="仿宋" w:eastAsia="仿宋" w:cs="仿宋"/>
          <w:sz w:val="32"/>
          <w:szCs w:val="32"/>
        </w:rPr>
        <w:t>。</w:t>
      </w:r>
      <w:r>
        <w:rPr>
          <w:rFonts w:hint="eastAsia" w:ascii="仿宋" w:hAnsi="仿宋" w:eastAsia="仿宋" w:cs="仿宋"/>
        </w:rPr>
        <w:fldChar w:fldCharType="end"/>
      </w:r>
    </w:p>
    <w:p w14:paraId="5C19182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龙华中学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04A4D962">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龙华中学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7B6AB70B">
      <w:pPr>
        <w:keepNext w:val="0"/>
        <w:keepLines w:val="0"/>
        <w:pageBreakBefore w:val="0"/>
        <w:widowControl/>
        <w:kinsoku/>
        <w:wordWrap/>
        <w:overflowPunct/>
        <w:topLinePunct w:val="0"/>
        <w:autoSpaceDE/>
        <w:autoSpaceDN/>
        <w:bidi w:val="0"/>
        <w:spacing w:line="540" w:lineRule="atLeast"/>
        <w:ind w:firstLine="640" w:firstLineChars="200"/>
        <w:textAlignment w:val="auto"/>
        <w:rPr>
          <w:rFonts w:ascii="仿宋" w:hAnsi="仿宋" w:eastAsia="仿宋" w:cs="仿宋"/>
          <w:sz w:val="32"/>
          <w:szCs w:val="30"/>
        </w:rPr>
      </w:pPr>
      <w:r>
        <w:rPr>
          <w:rFonts w:hint="eastAsia" w:ascii="仿宋" w:hAnsi="仿宋" w:eastAsia="仿宋" w:cs="仿宋"/>
          <w:sz w:val="32"/>
          <w:szCs w:val="30"/>
        </w:rPr>
        <w:t>2025年赣州市南康区龙华中学收入预算总额为925.20万元，较上年预算安排增加83.17万元，主要原因是增加了单位配比部分住房公积金的预算以及其他收入的预算。其中：财政拨款收入629.20万元，较上年预算安排增加38.17万元;教育收费资金收入0万元，较上年预算安排增加0万元;事业单位经营收入0万元，较上年预算安排增加0万元;国库集中支付网上结转0万元，较上年预算安排减少9.12万元；其他收入296万元，较上年预算安排增加54.12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18D843A3">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2025年赣州市南康区龙华中学支出预算总额为925.20万元，较上年预算安排增加83.17万元，主要原因是</w:t>
      </w:r>
      <w:r>
        <w:rPr>
          <w:rFonts w:hint="eastAsia" w:ascii="仿宋" w:hAnsi="仿宋" w:eastAsia="仿宋" w:cs="仿宋"/>
          <w:sz w:val="32"/>
          <w:szCs w:val="30"/>
        </w:rPr>
        <w:t>增加了单位配比部分住房公积金的预算支出以及其他收入的预算支出</w:t>
      </w:r>
      <w:r>
        <w:rPr>
          <w:rFonts w:hint="eastAsia" w:ascii="仿宋" w:hAnsi="仿宋" w:eastAsia="仿宋" w:cs="仿宋"/>
          <w:kern w:val="2"/>
          <w:sz w:val="32"/>
          <w:szCs w:val="30"/>
        </w:rPr>
        <w:t>。其中：</w:t>
      </w:r>
    </w:p>
    <w:p w14:paraId="6F867BB7">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按支出项目类别划分：基本支出628.85万元，较上年预算安排增加38.17万元，其中：工资福利支出616.91万元，商品和服务支出0万元，对个人和家庭的补助11.94万元，资本性支出0万元。项目支出296.35万元，较上年预算安排增加45.00万元，其中：工资福利支出70万元，商品和服务支出166.35万元，对个人和家庭的补助0万元，资本性支出0万元，对企业补助0万元，其他支出60万元。</w:t>
      </w:r>
    </w:p>
    <w:p w14:paraId="1E024F6F">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按支出功能科目划分：一般公共服务支出0万元，较上年预算安排增加0万元;教育支出925.20万元，较上年预算安排增加83.17万元;科学技术支出0万元，较上年预算安排增加0万元;社会保障和就业支出0万元，较上年预算安排增加0万元;卫生健康支出0万元，较上年预算安排增加0万元;农林水支出0万元，较上年预算安排增加0万元;住房保障支出0万元，较上年预算安排增加0万元。</w:t>
      </w:r>
    </w:p>
    <w:p w14:paraId="6AF5EAD5">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按支出经济分类划分：工资福利支出686.91万元，较上年预算安排增加27.25万元;商品和服务支出166.35万元，较上年预算安排增加50.27万元;对个人和家庭的补助11.94万元，较上年预算安排增加0.65万元;资本性支出0万元，较上年预算安排减少10万元;对企业补助0万元，较上年预算安排增加0万元，其他支出60万元，较上年预算安排增加15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2182A7D9">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2025年赣州市南康区龙华中学财政拨款支出预算总额为629.20万元，较上年预算安排增加38.17万元，主要原因是</w:t>
      </w:r>
      <w:r>
        <w:rPr>
          <w:rFonts w:hint="eastAsia" w:ascii="仿宋" w:hAnsi="仿宋" w:eastAsia="仿宋" w:cs="仿宋"/>
          <w:sz w:val="32"/>
          <w:szCs w:val="30"/>
        </w:rPr>
        <w:t>增加了单位配比部分住房公积金的支出预算</w:t>
      </w:r>
      <w:r>
        <w:rPr>
          <w:rFonts w:hint="eastAsia" w:ascii="仿宋" w:hAnsi="仿宋" w:eastAsia="仿宋" w:cs="仿宋"/>
          <w:kern w:val="2"/>
          <w:sz w:val="32"/>
          <w:szCs w:val="30"/>
        </w:rPr>
        <w:t>。</w:t>
      </w:r>
    </w:p>
    <w:p w14:paraId="66CE6362">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按支出功能科目划分：一般公共服务支出0万元，教育支出629.20万元，社会保障和就业支出0万元，卫生健康支出0万元，住房保障支出0万元。</w:t>
      </w:r>
    </w:p>
    <w:p w14:paraId="2726FD80">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按支出项目类别划分：基本支出628.85万元，较上年预算安排增加38.17万元，其中：工资福利支出616.91万元，商品和服务支出0万元，对个人和家庭的补助11.94万元，资本性支出0万元。项目支出0.35万元，较上年预算安排增加0万元，其中：商品和服务支出0.35万元，对个人和家庭的补助0万元，资本性支出0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626BFAC9">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2025年赣州市南康区龙华中学没有使用政府性基金预算拨款安排的支出。</w:t>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59C374C3">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2025年赣州市南康区龙华中学没有使用国有资本经营预算拨款安排的支出。</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0107E742">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2025年部门机关运行费预算0万元，比2024年预算增加0万元，增长0%，主要原因是本单位不属于机关单位无机关运行经费。</w:t>
      </w:r>
    </w:p>
    <w:p w14:paraId="4FE860B1">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16A47CD6">
      <w:pPr>
        <w:keepNext w:val="0"/>
        <w:keepLines w:val="0"/>
        <w:pageBreakBefore w:val="0"/>
        <w:kinsoku/>
        <w:wordWrap/>
        <w:overflowPunct/>
        <w:topLinePunct w:val="0"/>
        <w:autoSpaceDE/>
        <w:autoSpaceDN/>
        <w:bidi w:val="0"/>
        <w:spacing w:line="540" w:lineRule="atLeast"/>
        <w:ind w:firstLine="640" w:firstLineChars="200"/>
        <w:textAlignment w:val="auto"/>
        <w:rPr>
          <w:rFonts w:ascii="仿宋" w:hAnsi="仿宋" w:eastAsia="仿宋" w:cs="仿宋"/>
          <w:sz w:val="32"/>
          <w:szCs w:val="30"/>
        </w:rPr>
      </w:pPr>
      <w:r>
        <w:rPr>
          <w:rFonts w:hint="eastAsia" w:ascii="仿宋" w:hAnsi="仿宋" w:eastAsia="仿宋" w:cs="仿宋"/>
          <w:sz w:val="32"/>
          <w:szCs w:val="30"/>
        </w:rPr>
        <w:t>2025年赣州市南康区龙华中学政府采购总额25万元，其中: 政府采购货物预算0万元，政府采购工程预算0万元，政府采购服务预算25万元。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67282132">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截至2024年底，本单位共有车辆0辆，其中：一般公务用车实有数0辆，执法执勤用车实有数0辆。</w:t>
      </w:r>
    </w:p>
    <w:p w14:paraId="1956BB19">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2025年部门预算安排购置车辆0辆。</w:t>
      </w:r>
    </w:p>
    <w:p w14:paraId="1EE6928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rPr>
      </w:pPr>
      <w:r>
        <w:rPr>
          <w:rFonts w:hint="eastAsia" w:ascii="仿宋" w:hAnsi="仿宋" w:eastAsia="仿宋" w:cs="仿宋"/>
          <w:kern w:val="2"/>
          <w:sz w:val="32"/>
          <w:szCs w:val="30"/>
        </w:rPr>
        <w:t>2025年未安排购置单位价值200万元以上大型设备。</w:t>
      </w:r>
    </w:p>
    <w:p w14:paraId="2A9E879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（九）赣州市南康区龙华中学项目情况说明</w:t>
      </w:r>
    </w:p>
    <w:p w14:paraId="67CFEF35">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1.课后服务项目</w:t>
      </w:r>
    </w:p>
    <w:p w14:paraId="2F5762C6">
      <w:pPr>
        <w:keepNext w:val="0"/>
        <w:keepLines w:val="0"/>
        <w:pageBreakBefore w:val="0"/>
        <w:widowControl/>
        <w:kinsoku/>
        <w:wordWrap/>
        <w:overflowPunct/>
        <w:topLinePunct w:val="0"/>
        <w:autoSpaceDE/>
        <w:autoSpaceDN/>
        <w:bidi w:val="0"/>
        <w:spacing w:line="540" w:lineRule="atLeast"/>
        <w:ind w:firstLine="640" w:firstLineChars="200"/>
        <w:jc w:val="left"/>
        <w:textAlignment w:val="auto"/>
        <w:rPr>
          <w:rFonts w:ascii="仿宋_GB2312" w:eastAsia="仿宋_GB2312"/>
          <w:color w:val="000000"/>
          <w:sz w:val="32"/>
          <w:szCs w:val="30"/>
        </w:rPr>
      </w:pPr>
      <w:r>
        <w:rPr>
          <w:rFonts w:hint="eastAsia" w:ascii="仿宋" w:hAnsi="仿宋" w:eastAsia="仿宋" w:cs="仿宋"/>
          <w:sz w:val="32"/>
          <w:szCs w:val="32"/>
        </w:rPr>
        <w:t>（1）项目概述：</w:t>
      </w:r>
      <w:r>
        <w:rPr>
          <w:rFonts w:hint="eastAsia" w:ascii="仿宋_GB2312" w:hAnsi="仿宋_GB2312" w:eastAsia="仿宋_GB2312" w:cs="仿宋_GB2312"/>
          <w:sz w:val="32"/>
          <w:szCs w:val="32"/>
        </w:rPr>
        <w:t>为进一步满足新时代中小学生和家长对课后服务的迫切需求，帮助家长解决实际困难，增强教育公共服务能力，</w:t>
      </w:r>
      <w:r>
        <w:rPr>
          <w:rFonts w:hint="eastAsia" w:ascii="仿宋_GB2312" w:hAnsi="仿宋_GB2312" w:eastAsia="仿宋_GB2312" w:cs="仿宋_GB2312"/>
          <w:color w:val="000000"/>
          <w:sz w:val="32"/>
          <w:szCs w:val="32"/>
        </w:rPr>
        <w:t>实施</w:t>
      </w:r>
      <w:r>
        <w:rPr>
          <w:rFonts w:hint="eastAsia" w:ascii="仿宋_GB2312" w:hAnsi="仿宋_GB2312" w:eastAsia="仿宋_GB2312" w:cs="仿宋_GB2312"/>
          <w:sz w:val="32"/>
          <w:szCs w:val="32"/>
        </w:rPr>
        <w:t>弹性上学服务，在校午休服务，课后兴趣活动、</w:t>
      </w:r>
      <w:r>
        <w:rPr>
          <w:rFonts w:hint="eastAsia" w:ascii="仿宋_GB2312" w:hAnsi="仿宋_GB2312" w:eastAsia="仿宋_GB2312" w:cs="仿宋_GB2312"/>
          <w:color w:val="000000"/>
          <w:sz w:val="32"/>
          <w:szCs w:val="32"/>
        </w:rPr>
        <w:t>课后托管</w:t>
      </w:r>
      <w:r>
        <w:rPr>
          <w:rFonts w:hint="eastAsia" w:ascii="仿宋_GB2312" w:hAnsi="仿宋_GB2312" w:eastAsia="仿宋_GB2312" w:cs="仿宋_GB2312"/>
          <w:sz w:val="32"/>
          <w:szCs w:val="32"/>
        </w:rPr>
        <w:t>服务。</w:t>
      </w:r>
    </w:p>
    <w:p w14:paraId="50C6CAC9">
      <w:pPr>
        <w:keepNext w:val="0"/>
        <w:keepLines w:val="0"/>
        <w:pageBreakBefore w:val="0"/>
        <w:widowControl/>
        <w:kinsoku/>
        <w:wordWrap/>
        <w:overflowPunct/>
        <w:topLinePunct w:val="0"/>
        <w:autoSpaceDE/>
        <w:autoSpaceDN/>
        <w:bidi w:val="0"/>
        <w:spacing w:line="540" w:lineRule="atLeast"/>
        <w:ind w:firstLine="640"/>
        <w:jc w:val="left"/>
        <w:textAlignment w:val="auto"/>
        <w:rPr>
          <w:rFonts w:ascii="仿宋_GB2312" w:eastAsia="仿宋_GB2312"/>
          <w:color w:val="000000"/>
          <w:sz w:val="32"/>
          <w:szCs w:val="30"/>
        </w:rPr>
      </w:pPr>
      <w:r>
        <w:rPr>
          <w:rFonts w:hint="eastAsia" w:ascii="仿宋" w:hAnsi="仿宋" w:eastAsia="仿宋" w:cs="仿宋"/>
          <w:sz w:val="32"/>
          <w:szCs w:val="32"/>
        </w:rPr>
        <w:t>（2）立项依据：</w:t>
      </w:r>
      <w:r>
        <w:rPr>
          <w:rFonts w:hint="eastAsia" w:ascii="仿宋_GB2312" w:hAnsi="仿宋_GB2312" w:eastAsia="仿宋_GB2312" w:cs="仿宋_GB2312"/>
          <w:sz w:val="32"/>
          <w:szCs w:val="32"/>
        </w:rPr>
        <w:t>教育部《关于做好中小学生课后服务工作的指导意见》(教基一厅</w:t>
      </w:r>
      <w:r>
        <w:rPr>
          <w:rFonts w:hint="eastAsia" w:ascii="仿宋_GB2312" w:hAnsi="仿宋_GB2312" w:eastAsia="仿宋_GB2312" w:cs="仿宋_GB2312"/>
          <w:color w:val="000000"/>
          <w:sz w:val="32"/>
          <w:szCs w:val="32"/>
        </w:rPr>
        <w:t>〔2017〕2号)、江西</w:t>
      </w:r>
      <w:r>
        <w:rPr>
          <w:rFonts w:hint="eastAsia" w:ascii="仿宋_GB2312" w:hAnsi="仿宋_GB2312" w:eastAsia="仿宋_GB2312" w:cs="仿宋_GB2312"/>
          <w:sz w:val="32"/>
          <w:szCs w:val="32"/>
        </w:rPr>
        <w:t>省教育厅等四部门《关于做好全省中小学生课后服务工作的指导意见》(赣教发</w:t>
      </w:r>
      <w:r>
        <w:rPr>
          <w:rFonts w:hint="eastAsia" w:ascii="仿宋_GB2312" w:hAnsi="仿宋_GB2312" w:eastAsia="仿宋_GB2312" w:cs="仿宋_GB2312"/>
          <w:color w:val="000000"/>
          <w:sz w:val="32"/>
          <w:szCs w:val="32"/>
        </w:rPr>
        <w:t>〔2019〕10号)、南康区政府办康府办抄字〔2021〕25号、南康区教科体局等四部门关于印发《赣州市南康区中小学生课后服务工作实施方案（试行）》（康教科体联字〔2021〕3号）等文件精神，结合</w:t>
      </w:r>
      <w:r>
        <w:rPr>
          <w:rFonts w:hint="eastAsia" w:ascii="仿宋_GB2312" w:hAnsi="仿宋_GB2312" w:eastAsia="仿宋_GB2312" w:cs="仿宋_GB2312"/>
          <w:sz w:val="32"/>
          <w:szCs w:val="32"/>
        </w:rPr>
        <w:t>《赣州市南康区中小学生课后服务工作实施方案（试行）》</w:t>
      </w:r>
      <w:r>
        <w:rPr>
          <w:rFonts w:hint="eastAsia" w:ascii="仿宋_GB2312" w:hAnsi="仿宋_GB2312" w:eastAsia="仿宋_GB2312" w:cs="仿宋_GB2312"/>
          <w:color w:val="000000"/>
          <w:spacing w:val="-12"/>
          <w:sz w:val="32"/>
          <w:szCs w:val="32"/>
        </w:rPr>
        <w:t>的</w:t>
      </w:r>
      <w:r>
        <w:rPr>
          <w:rFonts w:hint="eastAsia" w:ascii="仿宋_GB2312" w:hAnsi="仿宋_GB2312" w:eastAsia="仿宋_GB2312" w:cs="仿宋_GB2312"/>
          <w:color w:val="000000"/>
          <w:sz w:val="32"/>
          <w:szCs w:val="32"/>
        </w:rPr>
        <w:t>通知。</w:t>
      </w:r>
    </w:p>
    <w:p w14:paraId="702D5C88">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 xml:space="preserve"> （3）实施主体：赣州市南康区龙华中学</w:t>
      </w:r>
    </w:p>
    <w:p w14:paraId="58A201CE">
      <w:pPr>
        <w:keepNext w:val="0"/>
        <w:keepLines w:val="0"/>
        <w:pageBreakBefore w:val="0"/>
        <w:widowControl/>
        <w:kinsoku/>
        <w:wordWrap/>
        <w:overflowPunct/>
        <w:topLinePunct w:val="0"/>
        <w:autoSpaceDE/>
        <w:autoSpaceDN/>
        <w:bidi w:val="0"/>
        <w:spacing w:line="540" w:lineRule="atLeast"/>
        <w:ind w:firstLine="640"/>
        <w:jc w:val="left"/>
        <w:textAlignment w:val="auto"/>
        <w:rPr>
          <w:rFonts w:ascii="仿宋" w:hAnsi="仿宋" w:eastAsia="仿宋" w:cs="仿宋"/>
          <w:sz w:val="32"/>
          <w:szCs w:val="32"/>
        </w:rPr>
      </w:pPr>
      <w:r>
        <w:rPr>
          <w:rFonts w:hint="eastAsia" w:ascii="仿宋" w:hAnsi="仿宋" w:eastAsia="仿宋" w:cs="仿宋"/>
          <w:sz w:val="32"/>
          <w:szCs w:val="32"/>
        </w:rPr>
        <w:t xml:space="preserve"> （4）实施方案：</w:t>
      </w:r>
    </w:p>
    <w:p w14:paraId="3FA2F4CD">
      <w:pPr>
        <w:keepNext w:val="0"/>
        <w:keepLines w:val="0"/>
        <w:pageBreakBefore w:val="0"/>
        <w:widowControl/>
        <w:kinsoku/>
        <w:wordWrap/>
        <w:overflowPunct/>
        <w:topLinePunct w:val="0"/>
        <w:autoSpaceDE/>
        <w:autoSpaceDN/>
        <w:bidi w:val="0"/>
        <w:spacing w:line="540" w:lineRule="atLeast"/>
        <w:ind w:firstLine="64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一、实施原则</w:t>
      </w:r>
    </w:p>
    <w:p w14:paraId="7E639861">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本着充分尊重家长，学生的需求和意愿，由家长自愿报名参加课后服务原则。</w:t>
      </w:r>
    </w:p>
    <w:p w14:paraId="393F83D3">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1.学校要事先征求家长的意见，主动告知服务方式、服务内容、安全保障措施，由家长向学校提出申请、登记。</w:t>
      </w:r>
    </w:p>
    <w:p w14:paraId="14B2770C">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2.课后服务安排在校园内进行，并合理利用学校现有条件。学校提供教室、运动场地、功能室等场所及其它后勤安全保障。 </w:t>
      </w:r>
    </w:p>
    <w:p w14:paraId="08676330">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3.学校完善安全管理制度，切实保障学生安全，制定落实严格的考勤、监管措施。</w:t>
      </w:r>
    </w:p>
    <w:p w14:paraId="1A803FA7">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二、组织领导</w:t>
      </w:r>
    </w:p>
    <w:p w14:paraId="0705E127">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 长：练继林</w:t>
      </w:r>
    </w:p>
    <w:p w14:paraId="0AA268C4">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副组长：李焕彬  黄正平  彭芳柱</w:t>
      </w:r>
    </w:p>
    <w:p w14:paraId="05030FEE">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成员：曹蔚奇，王艺智，眭雪梅，刘宏程，胡祖毅，范德帅，曾奇龙，刘尧海，廖芬，洪云，魏盛兵及</w:t>
      </w:r>
      <w:r>
        <w:rPr>
          <w:rFonts w:hint="eastAsia" w:ascii="仿宋_GB2312" w:hAnsi="仿宋_GB2312" w:eastAsia="仿宋_GB2312" w:cs="仿宋_GB2312"/>
          <w:kern w:val="0"/>
          <w:sz w:val="32"/>
          <w:szCs w:val="32"/>
        </w:rPr>
        <w:t>各班班主任。</w:t>
      </w:r>
    </w:p>
    <w:p w14:paraId="5B6A257C">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领导小组职责：</w:t>
      </w:r>
    </w:p>
    <w:p w14:paraId="52389A4E">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1.制订好服务方案，提出明确工作目标；</w:t>
      </w:r>
    </w:p>
    <w:p w14:paraId="502DF469">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2.根据实施情况及时总结，及时调整服务内容；</w:t>
      </w:r>
    </w:p>
    <w:p w14:paraId="35A4E67A">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3.每天督促查看服务工作实施进展，及时发现存在的问题，及时改进。</w:t>
      </w:r>
    </w:p>
    <w:p w14:paraId="2972051C">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4.定期召开会议，进行交流、总结，努力使工作开展得富有成效。</w:t>
      </w:r>
    </w:p>
    <w:p w14:paraId="33116B91">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三、服务内容</w:t>
      </w:r>
    </w:p>
    <w:p w14:paraId="1460EAB7">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1.弹性上学服务。在严格执行国家课程方案、开齐开足课程前提下，实行弹性上学，尽量早开校门，让家长能够从容送孩子上学；强化早到学生管理，使学生“早到可进校、进校有活动、活动有监管”。</w:t>
      </w:r>
    </w:p>
    <w:p w14:paraId="1281A71D">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2.在校午休服务。服务时间为午餐后至下午上课前。服务内容为：开放本班教室，所供学生午休。</w:t>
      </w:r>
    </w:p>
    <w:p w14:paraId="07E747E4">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3.课后兴趣活动、</w:t>
      </w:r>
      <w:r>
        <w:rPr>
          <w:rFonts w:hint="eastAsia" w:ascii="仿宋_GB2312" w:hAnsi="仿宋_GB2312" w:eastAsia="仿宋_GB2312" w:cs="仿宋_GB2312"/>
          <w:color w:val="000000"/>
          <w:sz w:val="32"/>
          <w:szCs w:val="32"/>
        </w:rPr>
        <w:t>课后托管</w:t>
      </w:r>
      <w:r>
        <w:rPr>
          <w:rFonts w:hint="eastAsia" w:ascii="仿宋_GB2312" w:hAnsi="仿宋_GB2312" w:eastAsia="仿宋_GB2312" w:cs="仿宋_GB2312"/>
          <w:sz w:val="32"/>
          <w:szCs w:val="32"/>
        </w:rPr>
        <w:t>服务。学校开设了篮球、语文阅读及方法指导、音乐、美术、作业辅导等服务时间为周一至周五下午放学后16:00～17:30，每天2课时。</w:t>
      </w:r>
    </w:p>
    <w:p w14:paraId="150B9653">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4.寒暑假托管服务。</w:t>
      </w:r>
    </w:p>
    <w:p w14:paraId="7A692746">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四、收费标准</w:t>
      </w:r>
    </w:p>
    <w:p w14:paraId="1F85C257">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1.弹性上学服务、在校午休服务。由学校免费提供，纳入学校日常教育教学管理，不得向家长收取任何费用。</w:t>
      </w:r>
    </w:p>
    <w:p w14:paraId="0AE06690">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2.课后兴趣活动、课后托管服务根据区政府批复的540元/人·学期标准向自愿参加服务的学生收取相关费用。本学期收费按实际开展课后服务的时间按周进行折算。</w:t>
      </w:r>
    </w:p>
    <w:p w14:paraId="671CEEB5">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3.实行“收支两条线”管理，课后兴趣活动、课后托管服务收取的费用通过财政专用账户缴入区财政，再由区财政全额返还后，用于学校课后服务的成本开支。</w:t>
      </w:r>
    </w:p>
    <w:p w14:paraId="67DCF7BD">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五、具体安排</w:t>
      </w:r>
    </w:p>
    <w:p w14:paraId="2D330497">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学校制定方案：本着“因校制宜”的原则，以切实减轻学生学习负担，在活动中学习，在活动中进步为目的，本学期主要开展下列活动：体能训练、篮球、语文阅读及方法指导、音乐、美术、作业辅导等。教导处制订好课后服务人员分工表及活动安排表。</w:t>
      </w:r>
    </w:p>
    <w:p w14:paraId="3D698CDC">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2.报名登记：按家长申请→班级审核→学校统一实施的流程，在自愿的前提下，由家长向学校提出书面申请，经班主任审核后，以班级为单位上报学校，经学校同意并在学校公示后，确定参加课后服务学生名单。</w:t>
      </w:r>
    </w:p>
    <w:p w14:paraId="452A85CC">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3.组织服务活动：各年级组分工负责，有组织、有计划的进行课后服务活动，由班主任每周填写活动记录(教导处下发)，期末上交学校存档，作为教导处和学校检查落实情况的依据。</w:t>
      </w:r>
    </w:p>
    <w:p w14:paraId="003DF55C">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保障安全：学校开展课后服务时，要把安全放在首位，完善安全管理制度和应急预案，明确课后服务人员责任，加强师生安全、卫生意识等教育，强化活动场所安全检查和门卫登记管理，落实严格的考勤、监管、交接班制度和应急预案措施；要加强与综治、公安、卫健等部门的协调配合，切实消除在交通、场地、消防、食品卫生、安全保卫等方面的隐患，确保学生人身安全。</w:t>
      </w:r>
    </w:p>
    <w:p w14:paraId="1F4535F1">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六、教师补贴标准</w:t>
      </w:r>
    </w:p>
    <w:p w14:paraId="560CBD2A">
      <w:pPr>
        <w:keepNext w:val="0"/>
        <w:keepLines w:val="0"/>
        <w:pageBreakBefore w:val="0"/>
        <w:kinsoku/>
        <w:wordWrap/>
        <w:overflowPunct/>
        <w:topLinePunct w:val="0"/>
        <w:autoSpaceDE/>
        <w:autoSpaceDN/>
        <w:bidi w:val="0"/>
        <w:spacing w:line="540"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对参与课后兴趣活动、课后托管服务的辅导教师、管理人员进行补贴，补贴标准：</w:t>
      </w:r>
      <w:r>
        <w:rPr>
          <w:rFonts w:hint="eastAsia" w:ascii="仿宋_GB2312" w:hAnsi="仿宋_GB2312" w:eastAsia="仿宋_GB2312" w:cs="仿宋_GB2312"/>
          <w:sz w:val="32"/>
          <w:szCs w:val="32"/>
          <w:lang w:val="en-US" w:eastAsia="zh-CN"/>
        </w:rPr>
        <w:t>课后兴趣活动、课后托管服务</w:t>
      </w:r>
      <w:r>
        <w:rPr>
          <w:rFonts w:hint="eastAsia" w:ascii="仿宋_GB2312" w:hAnsi="仿宋_GB2312" w:eastAsia="仿宋_GB2312" w:cs="仿宋_GB2312"/>
          <w:sz w:val="32"/>
          <w:szCs w:val="32"/>
        </w:rPr>
        <w:t>75元/课时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管理人员60元/课时。</w:t>
      </w:r>
    </w:p>
    <w:p w14:paraId="7A23DA88">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七、考核办法</w:t>
      </w:r>
      <w:bookmarkStart w:id="0" w:name="_GoBack"/>
      <w:bookmarkEnd w:id="0"/>
    </w:p>
    <w:p w14:paraId="48580E15">
      <w:pPr>
        <w:keepNext w:val="0"/>
        <w:keepLines w:val="0"/>
        <w:pageBreakBefore w:val="0"/>
        <w:kinsoku/>
        <w:wordWrap/>
        <w:overflowPunct/>
        <w:topLinePunct w:val="0"/>
        <w:autoSpaceDE/>
        <w:autoSpaceDN/>
        <w:bidi w:val="0"/>
        <w:spacing w:line="54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把参与课后兴趣活</w:t>
      </w:r>
      <w:r>
        <w:rPr>
          <w:rFonts w:hint="eastAsia" w:ascii="仿宋_GB2312" w:hAnsi="仿宋_GB2312" w:eastAsia="仿宋_GB2312" w:cs="仿宋_GB2312"/>
          <w:color w:val="000000"/>
          <w:sz w:val="32"/>
          <w:szCs w:val="32"/>
        </w:rPr>
        <w:t>动、课后托管服务</w:t>
      </w:r>
      <w:r>
        <w:rPr>
          <w:rFonts w:hint="eastAsia" w:ascii="仿宋_GB2312" w:hAnsi="仿宋_GB2312" w:eastAsia="仿宋_GB2312" w:cs="仿宋_GB2312"/>
          <w:sz w:val="32"/>
          <w:szCs w:val="32"/>
        </w:rPr>
        <w:t>的教师工作表现纳入教师考核范围，教导处将根据学校的课后服务活动计划表采取定期抽查与不定时抽查的方式，进行督导检查，检查成绩与教师年度考核挂钩。针对教师的出勤和服务质量情况，每月进行一次公示。</w:t>
      </w:r>
    </w:p>
    <w:p w14:paraId="14AB0099">
      <w:pPr>
        <w:keepNext w:val="0"/>
        <w:keepLines w:val="0"/>
        <w:pageBreakBefore w:val="0"/>
        <w:kinsoku/>
        <w:wordWrap/>
        <w:overflowPunct/>
        <w:topLinePunct w:val="0"/>
        <w:autoSpaceDE/>
        <w:autoSpaceDN/>
        <w:bidi w:val="0"/>
        <w:spacing w:line="54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（5）实施周期：2025年1月1日至2025年12月31日</w:t>
      </w:r>
    </w:p>
    <w:p w14:paraId="1DEEE611">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（6）年度预算安排:</w:t>
      </w:r>
      <w:r>
        <w:rPr>
          <w:rFonts w:hint="eastAsia" w:ascii="仿宋" w:hAnsi="仿宋" w:eastAsia="仿宋" w:cs="仿宋"/>
          <w:kern w:val="0"/>
          <w:sz w:val="32"/>
          <w:szCs w:val="32"/>
        </w:rPr>
        <w:t>86万元。</w:t>
      </w:r>
    </w:p>
    <w:p w14:paraId="71F566B5">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（7）绩效目标和指标：暂定5条</w:t>
      </w:r>
      <w:r>
        <w:rPr>
          <w:rFonts w:hint="eastAsia" w:ascii="仿宋_GB2312" w:eastAsia="仿宋_GB2312"/>
          <w:color w:val="000000"/>
          <w:sz w:val="32"/>
          <w:szCs w:val="30"/>
        </w:rPr>
        <w:t>绩效目标和指标</w:t>
      </w:r>
    </w:p>
    <w:p w14:paraId="7C60C35F">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数量指标：</w:t>
      </w:r>
      <w:r>
        <w:rPr>
          <w:rFonts w:hint="eastAsia" w:ascii="仿宋_GB2312" w:eastAsia="仿宋_GB2312"/>
          <w:color w:val="000000"/>
          <w:sz w:val="32"/>
          <w:szCs w:val="30"/>
        </w:rPr>
        <w:t>有课后服务需求学生的参与率，实现指标100%的参与率。</w:t>
      </w:r>
    </w:p>
    <w:p w14:paraId="5451F78E">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质量指标：课后服务费符合标准，实现指标值100%。</w:t>
      </w:r>
    </w:p>
    <w:p w14:paraId="39589D8D">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实效指标：资金按规定及时使用，实现指标值100%。</w:t>
      </w:r>
    </w:p>
    <w:p w14:paraId="7AB01935">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社会效益指标：对减轻学生学习负担和校外培训负担效果，实现指标明显提升</w:t>
      </w:r>
    </w:p>
    <w:p w14:paraId="3B2AA37D">
      <w:pPr>
        <w:keepNext w:val="0"/>
        <w:keepLines w:val="0"/>
        <w:pageBreakBefore w:val="0"/>
        <w:kinsoku/>
        <w:wordWrap/>
        <w:overflowPunct/>
        <w:topLinePunct w:val="0"/>
        <w:autoSpaceDE/>
        <w:autoSpaceDN/>
        <w:bidi w:val="0"/>
        <w:spacing w:line="540" w:lineRule="atLeast"/>
        <w:ind w:firstLine="642"/>
        <w:textAlignment w:val="auto"/>
        <w:rPr>
          <w:rFonts w:ascii="仿宋" w:hAnsi="仿宋" w:eastAsia="仿宋" w:cs="仿宋"/>
          <w:sz w:val="32"/>
          <w:szCs w:val="32"/>
        </w:rPr>
      </w:pPr>
      <w:r>
        <w:rPr>
          <w:rFonts w:hint="eastAsia" w:ascii="仿宋" w:hAnsi="仿宋" w:eastAsia="仿宋" w:cs="仿宋"/>
          <w:sz w:val="32"/>
          <w:szCs w:val="32"/>
        </w:rPr>
        <w:t>满意度指标：家长和学生满意度，实现指标大于等于85%</w:t>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679887FD">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2025年赣州市南康区龙华中学"三公"经费一般公共预算安排0.35万元，较少年减少0万元，其中：</w:t>
      </w:r>
    </w:p>
    <w:p w14:paraId="0F81F344">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因公出国0万元，比上年增加0万元，主要原因是：</w:t>
      </w:r>
      <w:r>
        <w:rPr>
          <w:rFonts w:hint="eastAsia" w:ascii="仿宋" w:hAnsi="仿宋" w:eastAsia="仿宋" w:cs="仿宋"/>
          <w:bCs/>
          <w:sz w:val="32"/>
          <w:szCs w:val="32"/>
        </w:rPr>
        <w:t>2025年</w:t>
      </w:r>
      <w:r>
        <w:rPr>
          <w:rFonts w:hint="eastAsia" w:ascii="仿宋_GB2312" w:hAnsi="仿宋_GB2312" w:eastAsia="仿宋_GB2312" w:cs="仿宋_GB2312"/>
          <w:sz w:val="32"/>
          <w:szCs w:val="32"/>
        </w:rPr>
        <w:t>我单位暂无计划因公出国（境）</w:t>
      </w:r>
      <w:r>
        <w:rPr>
          <w:rFonts w:hint="eastAsia" w:ascii="仿宋" w:hAnsi="仿宋" w:eastAsia="仿宋" w:cs="仿宋"/>
          <w:kern w:val="2"/>
          <w:sz w:val="32"/>
          <w:szCs w:val="30"/>
        </w:rPr>
        <w:t>。</w:t>
      </w:r>
    </w:p>
    <w:p w14:paraId="64258BD7">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公务接待0.35万元，比上年减少0万元，主要原因是：</w:t>
      </w:r>
      <w:r>
        <w:rPr>
          <w:rFonts w:hint="eastAsia" w:ascii="仿宋" w:hAnsi="仿宋" w:eastAsia="仿宋" w:cs="仿宋"/>
          <w:bCs/>
          <w:sz w:val="32"/>
          <w:szCs w:val="32"/>
        </w:rPr>
        <w:t>控制公务接待，减少开支</w:t>
      </w:r>
      <w:r>
        <w:rPr>
          <w:rFonts w:hint="eastAsia" w:ascii="仿宋" w:hAnsi="仿宋" w:eastAsia="仿宋" w:cs="仿宋"/>
          <w:kern w:val="2"/>
          <w:sz w:val="32"/>
          <w:szCs w:val="30"/>
        </w:rPr>
        <w:t>。</w:t>
      </w:r>
    </w:p>
    <w:p w14:paraId="1A602752">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ascii="仿宋" w:hAnsi="仿宋" w:eastAsia="仿宋" w:cs="仿宋"/>
          <w:kern w:val="2"/>
          <w:sz w:val="32"/>
          <w:szCs w:val="30"/>
        </w:rPr>
      </w:pPr>
      <w:r>
        <w:rPr>
          <w:rFonts w:hint="eastAsia" w:ascii="仿宋" w:hAnsi="仿宋" w:eastAsia="仿宋" w:cs="仿宋"/>
          <w:kern w:val="2"/>
          <w:sz w:val="32"/>
          <w:szCs w:val="30"/>
        </w:rPr>
        <w:t>公务用车运行0万元，比上年减少0万元，主要原因是：</w:t>
      </w:r>
      <w:r>
        <w:rPr>
          <w:rFonts w:hint="eastAsia" w:ascii="仿宋_GB2312" w:hAnsi="仿宋_GB2312" w:eastAsia="仿宋_GB2312"/>
          <w:sz w:val="32"/>
          <w:szCs w:val="32"/>
        </w:rPr>
        <w:t>2025年我单位暂无公务车辆</w:t>
      </w:r>
      <w:r>
        <w:rPr>
          <w:rFonts w:hint="eastAsia" w:ascii="仿宋" w:hAnsi="仿宋" w:eastAsia="仿宋" w:cs="仿宋"/>
          <w:kern w:val="2"/>
          <w:sz w:val="32"/>
          <w:szCs w:val="30"/>
        </w:rPr>
        <w:t>。</w:t>
      </w:r>
    </w:p>
    <w:p w14:paraId="700A0516">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hint="eastAsia" w:ascii="仿宋" w:hAnsi="仿宋" w:eastAsia="仿宋" w:cs="仿宋"/>
          <w:kern w:val="2"/>
          <w:sz w:val="32"/>
          <w:szCs w:val="30"/>
        </w:rPr>
      </w:pPr>
      <w:r>
        <w:rPr>
          <w:rFonts w:hint="eastAsia" w:ascii="仿宋" w:hAnsi="仿宋" w:eastAsia="仿宋" w:cs="仿宋"/>
          <w:kern w:val="2"/>
          <w:sz w:val="32"/>
          <w:szCs w:val="30"/>
        </w:rPr>
        <w:t>公务用车购置0万元，比上年减少0万元，主要原因是：</w:t>
      </w:r>
      <w:r>
        <w:rPr>
          <w:rFonts w:hint="eastAsia" w:ascii="仿宋_GB2312" w:hAnsi="仿宋_GB2312" w:eastAsia="仿宋_GB2312"/>
          <w:sz w:val="32"/>
          <w:szCs w:val="32"/>
        </w:rPr>
        <w:t>2025年我单位暂无计划购置公务车辆</w:t>
      </w:r>
      <w:r>
        <w:rPr>
          <w:rFonts w:hint="eastAsia" w:ascii="仿宋" w:hAnsi="仿宋" w:eastAsia="仿宋" w:cs="仿宋"/>
          <w:kern w:val="2"/>
          <w:sz w:val="32"/>
          <w:szCs w:val="30"/>
        </w:rPr>
        <w:t>。</w:t>
      </w:r>
    </w:p>
    <w:p w14:paraId="4AAE7500">
      <w:pPr>
        <w:pStyle w:val="6"/>
        <w:keepNext w:val="0"/>
        <w:keepLines w:val="0"/>
        <w:pageBreakBefore w:val="0"/>
        <w:kinsoku/>
        <w:wordWrap/>
        <w:overflowPunct/>
        <w:topLinePunct w:val="0"/>
        <w:autoSpaceDE/>
        <w:autoSpaceDN/>
        <w:bidi w:val="0"/>
        <w:spacing w:line="540" w:lineRule="atLeast"/>
        <w:ind w:firstLine="640" w:firstLineChars="200"/>
        <w:jc w:val="left"/>
        <w:textAlignment w:val="auto"/>
        <w:rPr>
          <w:rFonts w:hint="eastAsia" w:ascii="仿宋" w:hAnsi="仿宋" w:eastAsia="仿宋" w:cs="仿宋"/>
          <w:kern w:val="2"/>
          <w:sz w:val="32"/>
          <w:szCs w:val="30"/>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37E824A5">
      <w:pPr>
        <w:keepNext w:val="0"/>
        <w:keepLines w:val="0"/>
        <w:pageBreakBefore w:val="0"/>
        <w:widowControl w:val="0"/>
        <w:shd w:val="clear" w:color="auto" w:fill="FFFFFF"/>
        <w:kinsoku/>
        <w:wordWrap/>
        <w:overflowPunct/>
        <w:topLinePunct w:val="0"/>
        <w:autoSpaceDE/>
        <w:autoSpaceDN/>
        <w:bidi w:val="0"/>
        <w:adjustRightInd/>
        <w:snapToGrid/>
        <w:spacing w:line="540" w:lineRule="atLeas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atLeas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98020C8">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（一）行政运行：</w:t>
      </w:r>
      <w:r>
        <w:rPr>
          <w:rFonts w:hint="eastAsia" w:ascii="仿宋" w:hAnsi="仿宋" w:eastAsia="仿宋" w:cs="仿宋"/>
          <w:color w:val="000000"/>
          <w:sz w:val="32"/>
          <w:szCs w:val="30"/>
        </w:rPr>
        <w:t>反映行政单位（包括实行公务员管理的事业单位）的基本支出。</w:t>
      </w:r>
    </w:p>
    <w:p w14:paraId="7F53C430">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（二）一般行政管理事务：</w:t>
      </w:r>
      <w:r>
        <w:rPr>
          <w:rFonts w:hint="eastAsia" w:ascii="仿宋" w:hAnsi="仿宋" w:eastAsia="仿宋" w:cs="仿宋"/>
          <w:color w:val="000000"/>
          <w:sz w:val="32"/>
          <w:szCs w:val="30"/>
        </w:rPr>
        <w:t>反映行政单位（包括实行公务员管理的事业单位）未单独设置项级科目的其他项目支出。</w:t>
      </w:r>
    </w:p>
    <w:p w14:paraId="437EAF9A">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（三）事业运行：</w:t>
      </w:r>
      <w:r>
        <w:rPr>
          <w:rFonts w:hint="eastAsia" w:ascii="仿宋" w:hAnsi="仿宋" w:eastAsia="仿宋" w:cs="仿宋"/>
          <w:color w:val="000000"/>
          <w:sz w:val="32"/>
          <w:szCs w:val="30"/>
        </w:rPr>
        <w:t>反映事业单位的基本支出。</w:t>
      </w:r>
    </w:p>
    <w:p w14:paraId="716A8A3A">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（四）机关事业单位基本养老保险缴费支出：</w:t>
      </w:r>
      <w:r>
        <w:rPr>
          <w:rFonts w:hint="eastAsia" w:ascii="仿宋" w:hAnsi="仿宋" w:eastAsia="仿宋" w:cs="仿宋"/>
          <w:color w:val="000000"/>
          <w:sz w:val="32"/>
          <w:szCs w:val="30"/>
        </w:rPr>
        <w:t>反映机关事业单位实施养老保险制度由单位缴纳的基本养老保险费的支出。</w:t>
      </w:r>
    </w:p>
    <w:p w14:paraId="779A993E">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（五）行政单位医疗：</w:t>
      </w:r>
      <w:r>
        <w:rPr>
          <w:rFonts w:hint="eastAsia" w:ascii="仿宋" w:hAnsi="仿宋" w:eastAsia="仿宋" w:cs="仿宋"/>
          <w:color w:val="000000"/>
          <w:sz w:val="32"/>
          <w:szCs w:val="30"/>
        </w:rPr>
        <w:t>反映财政部门安排的行政单位（包括实行公务员管理的事业单位）基本医疗保险缴费经费。</w:t>
      </w:r>
    </w:p>
    <w:p w14:paraId="7146C95A">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（六）事业单位医疗：</w:t>
      </w:r>
      <w:r>
        <w:rPr>
          <w:rFonts w:hint="eastAsia" w:ascii="仿宋" w:hAnsi="仿宋" w:eastAsia="仿宋" w:cs="仿宋"/>
          <w:color w:val="000000"/>
          <w:sz w:val="32"/>
          <w:szCs w:val="30"/>
        </w:rPr>
        <w:t>反映财政部门安排的事业单位基本医疗保险缴费经费。</w:t>
      </w:r>
    </w:p>
    <w:p w14:paraId="713FF2C6">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1E3B2646">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（一）“三公”经费：</w:t>
      </w:r>
      <w:r>
        <w:rPr>
          <w:rFonts w:hint="eastAsia" w:ascii="仿宋" w:hAnsi="仿宋" w:eastAsia="仿宋" w:cs="仿宋"/>
          <w:color w:val="000000"/>
          <w:sz w:val="32"/>
          <w:szCs w:val="30"/>
        </w:rPr>
        <w:t>纳入预算管理的“三公”经费，是指用财政拨款安排的因公出国（境)费、公务用车购置及运行费和公务接待费。</w:t>
      </w:r>
    </w:p>
    <w:p w14:paraId="036E3D13">
      <w:pPr>
        <w:keepNext w:val="0"/>
        <w:keepLines w:val="0"/>
        <w:pageBreakBefore w:val="0"/>
        <w:widowControl/>
        <w:kinsoku/>
        <w:wordWrap/>
        <w:overflowPunct/>
        <w:topLinePunct w:val="0"/>
        <w:autoSpaceDE/>
        <w:autoSpaceDN/>
        <w:bidi w:val="0"/>
        <w:adjustRightInd/>
        <w:snapToGrid/>
        <w:spacing w:line="540" w:lineRule="atLeast"/>
        <w:ind w:firstLine="643" w:firstLineChars="200"/>
        <w:jc w:val="left"/>
        <w:textAlignment w:val="auto"/>
        <w:rPr>
          <w:rFonts w:ascii="仿宋" w:hAnsi="仿宋" w:eastAsia="仿宋" w:cs="仿宋"/>
          <w:color w:val="000000"/>
          <w:sz w:val="32"/>
          <w:szCs w:val="30"/>
        </w:rPr>
      </w:pPr>
      <w:r>
        <w:rPr>
          <w:rFonts w:hint="eastAsia" w:ascii="楷体" w:hAnsi="楷体" w:eastAsia="楷体" w:cs="仿宋"/>
          <w:b/>
          <w:color w:val="000000"/>
          <w:sz w:val="32"/>
          <w:szCs w:val="30"/>
        </w:rPr>
        <w:t>（二）机关运行经费：</w:t>
      </w:r>
      <w:r>
        <w:rPr>
          <w:rFonts w:hint="eastAsia" w:ascii="仿宋" w:hAnsi="仿宋" w:eastAsia="仿宋" w:cs="仿宋"/>
          <w:color w:val="000000"/>
          <w:sz w:val="32"/>
          <w:szCs w:val="30"/>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C1833D">
      <w:pPr>
        <w:pStyle w:val="6"/>
        <w:keepNext w:val="0"/>
        <w:keepLines w:val="0"/>
        <w:pageBreakBefore w:val="0"/>
        <w:kinsoku/>
        <w:wordWrap/>
        <w:overflowPunct/>
        <w:topLinePunct w:val="0"/>
        <w:autoSpaceDE/>
        <w:autoSpaceDN/>
        <w:bidi w:val="0"/>
        <w:adjustRightInd/>
        <w:snapToGrid/>
        <w:spacing w:line="540" w:lineRule="atLeast"/>
        <w:ind w:firstLine="1120" w:firstLineChars="350"/>
        <w:jc w:val="left"/>
        <w:textAlignment w:val="auto"/>
        <w:rPr>
          <w:rFonts w:ascii="仿宋" w:hAnsi="仿宋" w:eastAsia="仿宋" w:cs="仿宋"/>
          <w:kern w:val="2"/>
          <w:sz w:val="32"/>
          <w:szCs w:val="30"/>
        </w:rPr>
      </w:pPr>
    </w:p>
    <w:p w14:paraId="77EF2554">
      <w:pPr>
        <w:pStyle w:val="6"/>
        <w:keepNext w:val="0"/>
        <w:keepLines w:val="0"/>
        <w:pageBreakBefore w:val="0"/>
        <w:widowControl/>
        <w:kinsoku/>
        <w:wordWrap/>
        <w:overflowPunct/>
        <w:topLinePunct w:val="0"/>
        <w:autoSpaceDE/>
        <w:autoSpaceDN/>
        <w:bidi w:val="0"/>
        <w:adjustRightInd/>
        <w:snapToGrid/>
        <w:spacing w:line="540" w:lineRule="atLeas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9E31A"/>
    <w:multiLevelType w:val="singleLevel"/>
    <w:tmpl w:val="10A9E31A"/>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NmFlODU0ZDJhNzhhOTJjYWZhYjU0NzZiYmZjYjU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C635260"/>
    <w:rsid w:val="3F8A2AD8"/>
    <w:rsid w:val="416650F7"/>
    <w:rsid w:val="50622BE2"/>
    <w:rsid w:val="598F4A10"/>
    <w:rsid w:val="691507DE"/>
    <w:rsid w:val="69514CE9"/>
    <w:rsid w:val="6BCC2FDC"/>
    <w:rsid w:val="733F28AB"/>
    <w:rsid w:val="76A038F3"/>
    <w:rsid w:val="7C291F31"/>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3379</Words>
  <Characters>3477</Characters>
  <Lines>0</Lines>
  <Paragraphs>0</Paragraphs>
  <TotalTime>0</TotalTime>
  <ScaleCrop>false</ScaleCrop>
  <LinksUpToDate>false</LinksUpToDate>
  <CharactersWithSpaces>3509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2025-02-05T10:14:37Z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6177370B57F84BC9B45CB4B3B960D8B1</vt:lpwstr>
  </property>
</Properties>
</file>