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4479D2C">
      <w:pPr>
        <w:pStyle w:val="style0"/>
        <w:keepNext w:val="false"/>
        <w:keepLines w:val="false"/>
        <w:pageBreakBefore w:val="false"/>
        <w:kinsoku/>
        <w:wordWrap/>
        <w:overflowPunct/>
        <w:topLinePunct w:val="false"/>
        <w:autoSpaceDE/>
        <w:autoSpaceDN/>
        <w:bidi w:val="false"/>
        <w:adjustRightInd w:val="false"/>
        <w:snapToGrid w:val="false"/>
        <w:spacing w:lineRule="exact" w:line="520"/>
        <w:textAlignment w:val="auto"/>
        <w:rPr>
          <w:rFonts w:ascii="黑体" w:cs="黑体" w:eastAsia="黑体" w:hAnsi="黑体" w:hint="eastAsia"/>
          <w:sz w:val="32"/>
          <w:szCs w:val="32"/>
          <w:lang w:eastAsia="zh-CN"/>
        </w:rPr>
      </w:pPr>
      <w:r>
        <w:rPr>
          <w:rFonts w:ascii="黑体" w:cs="黑体" w:eastAsia="黑体" w:hAnsi="黑体" w:hint="eastAsia"/>
          <w:sz w:val="32"/>
          <w:szCs w:val="32"/>
        </w:rPr>
        <w:t>附件</w:t>
      </w:r>
      <w:r>
        <w:rPr>
          <w:rFonts w:ascii="黑体" w:cs="黑体" w:eastAsia="黑体" w:hAnsi="黑体" w:hint="eastAsia"/>
          <w:sz w:val="32"/>
          <w:szCs w:val="32"/>
          <w:lang w:val="en-US" w:eastAsia="zh-CN"/>
        </w:rPr>
        <w:t>2</w:t>
      </w:r>
    </w:p>
    <w:p w14:paraId="084DB007">
      <w:pPr>
        <w:pStyle w:val="style0"/>
        <w:keepNext w:val="false"/>
        <w:keepLines w:val="false"/>
        <w:pageBreakBefore w:val="false"/>
        <w:kinsoku/>
        <w:wordWrap/>
        <w:overflowPunct/>
        <w:topLinePunct w:val="false"/>
        <w:autoSpaceDE/>
        <w:autoSpaceDN/>
        <w:bidi w:val="false"/>
        <w:adjustRightInd w:val="false"/>
        <w:snapToGrid w:val="false"/>
        <w:spacing w:lineRule="exact" w:line="520"/>
        <w:jc w:val="center"/>
        <w:textAlignment w:val="auto"/>
        <w:rPr>
          <w:rFonts w:ascii="方正小标宋简体" w:eastAsia="方正小标宋简体" w:hAnsi="仿宋_GB2312" w:hint="eastAsia"/>
          <w:sz w:val="44"/>
          <w:szCs w:val="44"/>
          <w:lang w:eastAsia="zh-CN"/>
        </w:rPr>
      </w:pPr>
      <w:r>
        <w:rPr>
          <w:rFonts w:ascii="方正小标宋简体" w:eastAsia="方正小标宋简体" w:hAnsi="仿宋_GB2312" w:hint="eastAsia"/>
          <w:sz w:val="44"/>
          <w:szCs w:val="44"/>
        </w:rPr>
        <w:t>赣州市南康区</w:t>
      </w:r>
      <w:r>
        <w:rPr>
          <w:rFonts w:ascii="方正小标宋简体" w:eastAsia="方正小标宋简体" w:hAnsi="仿宋_GB2312" w:hint="eastAsia"/>
          <w:sz w:val="44"/>
          <w:szCs w:val="44"/>
          <w:lang w:eastAsia="zh-CN"/>
        </w:rPr>
        <w:t>龙华镇中心小学</w:t>
      </w:r>
      <w:r>
        <w:rPr>
          <w:rFonts w:ascii="方正小标宋简体" w:eastAsia="方正小标宋简体" w:hAnsi="仿宋_GB2312" w:hint="eastAsia"/>
          <w:sz w:val="44"/>
          <w:szCs w:val="44"/>
        </w:rPr>
        <w:t>202</w:t>
      </w:r>
      <w:r>
        <w:rPr>
          <w:rFonts w:ascii="方正小标宋简体" w:eastAsia="方正小标宋简体" w:hAnsi="仿宋_GB2312" w:hint="eastAsia"/>
          <w:sz w:val="44"/>
          <w:szCs w:val="44"/>
          <w:lang w:val="en-US" w:eastAsia="zh-CN"/>
        </w:rPr>
        <w:t>5</w:t>
      </w:r>
      <w:r>
        <w:rPr>
          <w:rFonts w:ascii="方正小标宋简体" w:eastAsia="方正小标宋简体" w:hAnsi="仿宋_GB2312" w:hint="eastAsia"/>
          <w:sz w:val="44"/>
          <w:szCs w:val="44"/>
        </w:rPr>
        <w:t>年</w:t>
      </w:r>
      <w:r>
        <w:rPr>
          <w:rFonts w:ascii="方正小标宋简体" w:eastAsia="方正小标宋简体" w:hAnsi="仿宋_GB2312" w:hint="eastAsia"/>
          <w:sz w:val="44"/>
          <w:szCs w:val="44"/>
          <w:lang w:eastAsia="zh-CN"/>
        </w:rPr>
        <w:t>单位预算</w:t>
      </w:r>
    </w:p>
    <w:p w14:paraId="53FF82F6">
      <w:pPr>
        <w:pStyle w:val="style4097"/>
        <w:keepNext w:val="false"/>
        <w:keepLines w:val="false"/>
        <w:pageBreakBefore w:val="false"/>
        <w:kinsoku/>
        <w:wordWrap/>
        <w:overflowPunct/>
        <w:topLinePunct w:val="false"/>
        <w:autoSpaceDE/>
        <w:autoSpaceDN/>
        <w:bidi w:val="false"/>
        <w:spacing w:lineRule="exact" w:line="520"/>
        <w:jc w:val="center"/>
        <w:textAlignment w:val="auto"/>
        <w:rPr>
          <w:rFonts w:ascii="黑体" w:eastAsia="黑体" w:hAnsi="黑体" w:hint="eastAsia"/>
          <w:color w:val="ff0000"/>
          <w:sz w:val="32"/>
          <w:szCs w:val="32"/>
          <w:lang w:eastAsia="zh-CN"/>
        </w:rPr>
      </w:pPr>
      <w:r>
        <w:rPr>
          <w:rFonts w:ascii="黑体" w:eastAsia="黑体" w:hAnsi="黑体" w:hint="eastAsia"/>
          <w:color w:val="000000"/>
          <w:sz w:val="32"/>
          <w:szCs w:val="32"/>
        </w:rPr>
        <w:t>目    录</w:t>
      </w:r>
    </w:p>
    <w:p w14:paraId="C2595585">
      <w:pPr>
        <w:pStyle w:val="style4097"/>
        <w:keepNext w:val="false"/>
        <w:keepLines w:val="false"/>
        <w:pageBreakBefore w:val="false"/>
        <w:widowControl/>
        <w:tabs>
          <w:tab w:val="right" w:leader="none" w:pos="8306"/>
        </w:tabs>
        <w:kinsoku/>
        <w:wordWrap/>
        <w:overflowPunct/>
        <w:topLinePunct w:val="false"/>
        <w:autoSpaceDE/>
        <w:autoSpaceDN/>
        <w:bidi w:val="false"/>
        <w:adjustRightInd/>
        <w:snapToGrid/>
        <w:spacing w:lineRule="exact" w:line="520"/>
        <w:ind w:left="0" w:leftChars="0" w:right="0" w:rightChars="0" w:firstLine="640"/>
        <w:jc w:val="left"/>
        <w:textAlignment w:val="auto"/>
        <w:outlineLvl w:val="9"/>
        <w:rPr>
          <w:rFonts w:ascii="仿宋_GB2312" w:eastAsia="仿宋_GB2312"/>
          <w:b/>
          <w:bCs/>
          <w:color w:val="000000"/>
          <w:sz w:val="32"/>
          <w:szCs w:val="32"/>
        </w:rPr>
      </w:pPr>
      <w:r>
        <w:rPr>
          <w:rFonts w:ascii="楷体" w:cs="楷体" w:eastAsia="楷体" w:hAnsi="楷体" w:hint="eastAsia"/>
          <w:b/>
          <w:bCs/>
          <w:color w:val="000000"/>
          <w:sz w:val="32"/>
          <w:szCs w:val="32"/>
        </w:rPr>
        <w:t xml:space="preserve">第一部分  </w:t>
      </w:r>
      <w:bookmarkStart w:id="0" w:name="OLE_LINK1"/>
      <w:r>
        <w:rPr>
          <w:rFonts w:ascii="楷体" w:cs="楷体" w:eastAsia="楷体" w:hAnsi="楷体" w:hint="eastAsia"/>
          <w:b/>
          <w:bCs/>
          <w:color w:val="000000"/>
          <w:sz w:val="32"/>
          <w:szCs w:val="32"/>
          <w:lang w:eastAsia="zh-CN"/>
        </w:rPr>
        <w:t>赣州市南康区</w:t>
      </w:r>
      <w:r>
        <w:rPr>
          <w:rFonts w:ascii="楷体" w:cs="楷体" w:eastAsia="楷体" w:hAnsi="楷体" w:hint="eastAsia"/>
          <w:b/>
          <w:bCs/>
          <w:color w:val="000000"/>
          <w:sz w:val="32"/>
          <w:szCs w:val="32"/>
          <w:lang w:val="en-US" w:eastAsia="zh-CN"/>
        </w:rPr>
        <w:t>龙华镇中心小学</w:t>
      </w:r>
      <w:bookmarkEnd w:id="0"/>
      <w:r>
        <w:rPr>
          <w:rFonts w:ascii="楷体" w:cs="楷体" w:eastAsia="楷体" w:hAnsi="楷体" w:hint="eastAsia"/>
          <w:b/>
          <w:bCs/>
          <w:color w:val="000000"/>
          <w:sz w:val="32"/>
          <w:szCs w:val="32"/>
        </w:rPr>
        <w:t>概况</w:t>
      </w:r>
    </w:p>
    <w:p w14:paraId="B9962DB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一、部门主要职责</w:t>
      </w:r>
    </w:p>
    <w:p w14:paraId="8FDDB04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二、机构设置及人员情况</w:t>
      </w:r>
    </w:p>
    <w:p w14:paraId="8C12A878">
      <w:pPr>
        <w:pStyle w:val="style0"/>
        <w:keepNext w:val="false"/>
        <w:keepLines w:val="false"/>
        <w:pageBreakBefore w:val="false"/>
        <w:kinsoku/>
        <w:wordWrap/>
        <w:overflowPunct/>
        <w:topLinePunct w:val="false"/>
        <w:autoSpaceDE/>
        <w:autoSpaceDN/>
        <w:bidi w:val="false"/>
        <w:spacing w:lineRule="exact" w:line="520"/>
        <w:ind w:firstLine="643" w:firstLineChars="200"/>
        <w:textAlignment w:val="auto"/>
        <w:rPr>
          <w:rStyle w:val="style4098"/>
          <w:rFonts w:ascii="楷体" w:cs="楷体" w:eastAsia="楷体" w:hAnsi="楷体" w:hint="eastAsia"/>
          <w:b/>
          <w:sz w:val="32"/>
          <w:szCs w:val="32"/>
          <w:lang w:eastAsia="zh-CN"/>
        </w:rPr>
      </w:pPr>
      <w:r>
        <w:rPr>
          <w:rStyle w:val="style4098"/>
          <w:rFonts w:ascii="楷体" w:cs="楷体" w:eastAsia="楷体" w:hAnsi="楷体" w:hint="eastAsia"/>
          <w:b/>
          <w:sz w:val="32"/>
          <w:szCs w:val="32"/>
          <w:lang w:eastAsia="zh-CN"/>
        </w:rPr>
        <w:t xml:space="preserve">第二部分  </w:t>
      </w:r>
      <w:r>
        <w:rPr>
          <w:rFonts w:ascii="楷体" w:cs="楷体" w:eastAsia="楷体" w:hAnsi="楷体" w:hint="eastAsia"/>
          <w:b/>
          <w:bCs/>
          <w:color w:val="000000"/>
          <w:sz w:val="32"/>
          <w:szCs w:val="32"/>
          <w:lang w:eastAsia="zh-CN"/>
        </w:rPr>
        <w:t>赣州市南康区</w:t>
      </w:r>
      <w:r>
        <w:rPr>
          <w:rFonts w:ascii="楷体" w:cs="楷体" w:eastAsia="楷体" w:hAnsi="楷体" w:hint="eastAsia"/>
          <w:b/>
          <w:bCs/>
          <w:color w:val="000000"/>
          <w:sz w:val="32"/>
          <w:szCs w:val="32"/>
          <w:lang w:val="en-US" w:eastAsia="zh-CN"/>
        </w:rPr>
        <w:t>龙华镇中心小学</w:t>
      </w:r>
      <w:r>
        <w:rPr>
          <w:rStyle w:val="style4098"/>
          <w:rFonts w:ascii="楷体" w:cs="楷体" w:eastAsia="楷体" w:hAnsi="楷体" w:hint="eastAsia"/>
          <w:b/>
          <w:sz w:val="32"/>
          <w:szCs w:val="32"/>
          <w:lang w:eastAsia="zh-CN"/>
        </w:rPr>
        <w:t>202</w:t>
      </w:r>
      <w:r>
        <w:rPr>
          <w:rStyle w:val="style4098"/>
          <w:rFonts w:ascii="楷体" w:cs="楷体" w:eastAsia="楷体" w:hAnsi="楷体" w:hint="eastAsia"/>
          <w:b/>
          <w:sz w:val="32"/>
          <w:szCs w:val="32"/>
          <w:lang w:val="en-US" w:eastAsia="zh-CN"/>
        </w:rPr>
        <w:t>5</w:t>
      </w:r>
      <w:r>
        <w:rPr>
          <w:rStyle w:val="style4098"/>
          <w:rFonts w:ascii="楷体" w:cs="楷体" w:eastAsia="楷体" w:hAnsi="楷体" w:hint="eastAsia"/>
          <w:b/>
          <w:sz w:val="32"/>
          <w:szCs w:val="32"/>
          <w:lang w:eastAsia="zh-CN"/>
        </w:rPr>
        <w:t>年部门预算表</w:t>
      </w:r>
    </w:p>
    <w:p w14:paraId="2512B279">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一、《收支预算总表》</w:t>
      </w:r>
    </w:p>
    <w:p w14:paraId="618F5C3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二、《部门收入总表》</w:t>
      </w:r>
    </w:p>
    <w:p w14:paraId="8090A9A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三、《部门支出总表》</w:t>
      </w:r>
    </w:p>
    <w:p w14:paraId="7359C4D9">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四、《财政拨款收支总表》</w:t>
      </w:r>
    </w:p>
    <w:p w14:paraId="AAF7A26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五、《一般公共预算支出表》</w:t>
      </w:r>
    </w:p>
    <w:p w14:paraId="AE432BE7">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六、《一般公共预算基本支出表》</w:t>
      </w:r>
    </w:p>
    <w:p w14:paraId="63D45D6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七、《一般公共预算“三公”经费支出表》</w:t>
      </w:r>
    </w:p>
    <w:p w14:paraId="1C0FE409">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八、《政府性基金预算支出表》</w:t>
      </w:r>
    </w:p>
    <w:p w14:paraId="CA3F62EC">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val="en-US" w:eastAsia="zh-CN"/>
        </w:rPr>
        <w:t>九</w:t>
      </w:r>
      <w:r>
        <w:rPr>
          <w:rFonts w:ascii="仿宋" w:cs="仿宋" w:eastAsia="仿宋" w:hAnsi="仿宋" w:hint="eastAsia"/>
          <w:kern w:val="2"/>
          <w:sz w:val="32"/>
          <w:szCs w:val="30"/>
          <w:lang w:eastAsia="zh-CN"/>
        </w:rPr>
        <w:t>、《国有资本经营预算支出表》</w:t>
      </w:r>
    </w:p>
    <w:p w14:paraId="1491B696">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Adobe 仿宋 Std R" w:cs="黑体" w:eastAsia="Adobe 仿宋 Std R" w:hAnsi="Adobe 仿宋 Std R"/>
          <w:kern w:val="2"/>
          <w:sz w:val="32"/>
          <w:szCs w:val="30"/>
        </w:rPr>
      </w:pPr>
      <w:r>
        <w:rPr>
          <w:rFonts w:ascii="仿宋" w:cs="仿宋" w:eastAsia="仿宋" w:hAnsi="仿宋" w:hint="eastAsia"/>
          <w:kern w:val="2"/>
          <w:sz w:val="32"/>
          <w:szCs w:val="30"/>
          <w:lang w:eastAsia="zh-CN"/>
        </w:rPr>
        <w:t>十、《重点项目绩效目标表》</w:t>
      </w:r>
    </w:p>
    <w:p w14:paraId="4816B0D9">
      <w:pPr>
        <w:pStyle w:val="style0"/>
        <w:keepNext w:val="false"/>
        <w:keepLines w:val="false"/>
        <w:pageBreakBefore w:val="false"/>
        <w:kinsoku/>
        <w:wordWrap/>
        <w:overflowPunct/>
        <w:topLinePunct w:val="false"/>
        <w:autoSpaceDE/>
        <w:autoSpaceDN/>
        <w:bidi w:val="false"/>
        <w:spacing w:lineRule="exact" w:line="520"/>
        <w:ind w:firstLine="643" w:firstLineChars="200"/>
        <w:textAlignment w:val="auto"/>
        <w:rPr>
          <w:rStyle w:val="style4098"/>
          <w:rFonts w:ascii="楷体" w:cs="楷体" w:eastAsia="楷体" w:hAnsi="楷体" w:hint="eastAsia"/>
          <w:b/>
          <w:sz w:val="32"/>
          <w:szCs w:val="32"/>
          <w:lang w:eastAsia="zh-CN"/>
        </w:rPr>
      </w:pPr>
      <w:r>
        <w:rPr>
          <w:rStyle w:val="style4098"/>
          <w:rFonts w:ascii="楷体" w:cs="楷体" w:eastAsia="楷体" w:hAnsi="楷体" w:hint="eastAsia"/>
          <w:b/>
          <w:sz w:val="32"/>
          <w:szCs w:val="32"/>
          <w:lang w:eastAsia="zh-CN"/>
        </w:rPr>
        <w:t>第三部分 赣州市南康区龙华镇中心小学202</w:t>
      </w:r>
      <w:r>
        <w:rPr>
          <w:rStyle w:val="style4098"/>
          <w:rFonts w:ascii="楷体" w:cs="楷体" w:eastAsia="楷体" w:hAnsi="楷体" w:hint="eastAsia"/>
          <w:b/>
          <w:sz w:val="32"/>
          <w:szCs w:val="32"/>
          <w:lang w:val="en-US" w:eastAsia="zh-CN"/>
        </w:rPr>
        <w:t>5</w:t>
      </w:r>
      <w:r>
        <w:rPr>
          <w:rStyle w:val="style4098"/>
          <w:rFonts w:ascii="楷体" w:cs="楷体" w:eastAsia="楷体" w:hAnsi="楷体" w:hint="eastAsia"/>
          <w:b/>
          <w:sz w:val="32"/>
          <w:szCs w:val="32"/>
          <w:lang w:eastAsia="zh-CN"/>
        </w:rPr>
        <w:t>年部门预算情况说明</w:t>
      </w:r>
    </w:p>
    <w:p w14:paraId="0AEFD93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年部门预算收支情况说明</w:t>
      </w:r>
    </w:p>
    <w:p w14:paraId="D078B642">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年“三公”经费预算情况说明</w:t>
      </w:r>
    </w:p>
    <w:p w14:paraId="1F3650C4">
      <w:pPr>
        <w:pStyle w:val="style0"/>
        <w:keepNext w:val="false"/>
        <w:keepLines w:val="false"/>
        <w:pageBreakBefore w:val="false"/>
        <w:kinsoku/>
        <w:wordWrap/>
        <w:overflowPunct/>
        <w:topLinePunct w:val="false"/>
        <w:autoSpaceDE/>
        <w:autoSpaceDN/>
        <w:bidi w:val="false"/>
        <w:spacing w:lineRule="exact" w:line="520"/>
        <w:ind w:firstLine="643" w:firstLineChars="200"/>
        <w:textAlignment w:val="auto"/>
        <w:rPr>
          <w:rStyle w:val="style4098"/>
          <w:rFonts w:ascii="楷体" w:cs="楷体" w:eastAsia="楷体" w:hAnsi="楷体" w:hint="eastAsia"/>
          <w:b/>
          <w:sz w:val="32"/>
          <w:szCs w:val="32"/>
          <w:lang w:eastAsia="zh-CN"/>
        </w:rPr>
      </w:pPr>
      <w:r>
        <w:rPr>
          <w:rStyle w:val="style4098"/>
          <w:rFonts w:ascii="楷体" w:cs="楷体" w:eastAsia="楷体" w:hAnsi="楷体" w:hint="eastAsia"/>
          <w:b/>
          <w:sz w:val="32"/>
          <w:szCs w:val="32"/>
          <w:lang w:eastAsia="zh-CN"/>
        </w:rPr>
        <w:t>第四部分  名词解释</w:t>
      </w:r>
    </w:p>
    <w:p w14:paraId="C114984C">
      <w:pPr>
        <w:pStyle w:val="style0"/>
        <w:keepNext w:val="false"/>
        <w:keepLines w:val="false"/>
        <w:pageBreakBefore w:val="false"/>
        <w:kinsoku/>
        <w:wordWrap/>
        <w:overflowPunct/>
        <w:topLinePunct w:val="false"/>
        <w:autoSpaceDE/>
        <w:autoSpaceDN/>
        <w:bidi w:val="false"/>
        <w:adjustRightInd w:val="false"/>
        <w:snapToGrid w:val="false"/>
        <w:spacing w:lineRule="exact" w:line="520"/>
        <w:jc w:val="center"/>
        <w:textAlignment w:val="auto"/>
        <w:rPr>
          <w:rFonts w:ascii="黑体" w:eastAsia="黑体" w:hAnsi="黑体" w:hint="eastAsia"/>
          <w:sz w:val="32"/>
          <w:szCs w:val="32"/>
        </w:rPr>
      </w:pPr>
      <w:r>
        <w:rPr>
          <w:rFonts w:ascii="黑体" w:cs="黑体" w:eastAsia="黑体" w:hAnsi="黑体" w:hint="eastAsia"/>
          <w:b w:val="false"/>
          <w:bCs/>
          <w:sz w:val="32"/>
          <w:szCs w:val="30"/>
        </w:rPr>
        <w:t xml:space="preserve">第一部分  </w:t>
      </w:r>
      <w:r>
        <w:rPr>
          <w:rFonts w:ascii="黑体" w:cs="黑体" w:eastAsia="黑体" w:hAnsi="黑体" w:hint="eastAsia"/>
          <w:b w:val="false"/>
          <w:bCs/>
          <w:sz w:val="32"/>
          <w:szCs w:val="32"/>
        </w:rPr>
        <w:t>赣州市南康区</w:t>
      </w:r>
      <w:r>
        <w:rPr>
          <w:rFonts w:ascii="黑体" w:cs="黑体" w:eastAsia="黑体" w:hAnsi="黑体" w:hint="eastAsia"/>
          <w:b w:val="false"/>
          <w:bCs/>
          <w:sz w:val="32"/>
          <w:szCs w:val="32"/>
          <w:lang w:eastAsia="zh-CN"/>
        </w:rPr>
        <w:t>龙华镇中心小学</w:t>
      </w:r>
      <w:r>
        <w:rPr>
          <w:rFonts w:ascii="黑体" w:cs="黑体" w:eastAsia="黑体" w:hAnsi="黑体" w:hint="eastAsia"/>
          <w:b w:val="false"/>
          <w:bCs/>
          <w:sz w:val="32"/>
          <w:szCs w:val="30"/>
        </w:rPr>
        <w:t>概况</w:t>
      </w:r>
    </w:p>
    <w:p w14:paraId="B6744AD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40"/>
        <w:ind w:firstLine="640" w:firstLineChars="200"/>
        <w:textAlignment w:val="auto"/>
        <w:rPr>
          <w:rFonts w:ascii="仿宋" w:cs="仿宋" w:eastAsia="仿宋" w:hAnsi="仿宋" w:hint="eastAsia"/>
          <w:color w:val="ff0000"/>
          <w:kern w:val="2"/>
          <w:sz w:val="32"/>
          <w:szCs w:val="30"/>
          <w:lang w:eastAsia="zh-CN"/>
        </w:rPr>
      </w:pPr>
      <w:r>
        <w:rPr>
          <w:rFonts w:ascii="黑体" w:eastAsia="黑体" w:hAnsi="黑体" w:hint="eastAsia"/>
          <w:sz w:val="32"/>
          <w:szCs w:val="32"/>
        </w:rPr>
        <w:t>一、部门主要职责</w:t>
      </w:r>
    </w:p>
    <w:p w14:paraId="18B26CDF">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赣州市南康区龙华</w:t>
      </w:r>
      <w:r>
        <w:rPr>
          <w:rFonts w:ascii="仿宋" w:cs="仿宋" w:eastAsia="仿宋" w:hAnsi="仿宋" w:hint="eastAsia"/>
          <w:kern w:val="2"/>
          <w:sz w:val="32"/>
          <w:szCs w:val="30"/>
          <w:lang w:val="en-US" w:eastAsia="zh-CN"/>
        </w:rPr>
        <w:t>镇中心小学</w:t>
      </w:r>
      <w:r>
        <w:rPr>
          <w:rFonts w:ascii="仿宋" w:cs="仿宋" w:eastAsia="仿宋" w:hAnsi="仿宋" w:hint="eastAsia"/>
          <w:kern w:val="2"/>
          <w:sz w:val="32"/>
          <w:szCs w:val="30"/>
          <w:lang w:eastAsia="zh-CN"/>
        </w:rPr>
        <w:t>是赣州市南康区教育体育局从事小学教育工作的下属单位，主要职责是：</w:t>
      </w:r>
    </w:p>
    <w:p w14:paraId="58276D3B">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（一）宣传贯彻执行党和国家的教育方针、教育政策、教育法律和法规，贯彻执行上级教育行政部门的各项规章制度。</w:t>
      </w:r>
    </w:p>
    <w:p w14:paraId="9CFFB26A">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（二）在政府和上级教育主管部门的领导下，争取资金改善办学条件，为师生的学习和工作提供优美和谐的环境。</w:t>
      </w:r>
    </w:p>
    <w:p w14:paraId="B3CA9D06">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三）在政府的领导下，全面开展普及小学义务教育，组织教师动员适龄儿童少年就近入学。按照小学义务教育课程计划开启课程，开足课时，认真实施中小学教育教学管理，全面推进素质教育，全面提高教育教学质量。</w:t>
      </w:r>
    </w:p>
    <w:p w14:paraId="1D1226F2">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（四）按照上级有关部门的规定，负责对本校财务和项目建设进行管理，负责核算和发放教职工工资。</w:t>
      </w:r>
    </w:p>
    <w:p w14:paraId="3F9BDE10">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jc w:val="left"/>
        <w:textAlignment w:val="auto"/>
        <w:rPr>
          <w:rFonts w:ascii="黑体" w:cs="黑体" w:eastAsia="黑体" w:hAnsi="黑体" w:hint="eastAsia"/>
          <w:b w:val="false"/>
          <w:bCs/>
          <w:sz w:val="32"/>
          <w:szCs w:val="30"/>
        </w:rPr>
      </w:pPr>
      <w:r>
        <w:rPr>
          <w:rFonts w:ascii="黑体" w:cs="黑体" w:eastAsia="黑体" w:hAnsi="黑体" w:hint="eastAsia"/>
          <w:b w:val="false"/>
          <w:bCs/>
          <w:sz w:val="32"/>
          <w:szCs w:val="30"/>
        </w:rPr>
        <w:t>二、机构设置及人员情况</w:t>
      </w:r>
    </w:p>
    <w:p w14:paraId="D60C13F7">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val="en-US" w:eastAsia="zh-CN"/>
        </w:rPr>
      </w:pPr>
      <w:r>
        <w:rPr>
          <w:rFonts w:ascii="仿宋" w:cs="仿宋" w:eastAsia="仿宋" w:hAnsi="仿宋" w:hint="eastAsia"/>
          <w:kern w:val="2"/>
          <w:sz w:val="32"/>
          <w:szCs w:val="30"/>
          <w:lang w:eastAsia="zh-CN"/>
        </w:rPr>
        <w:t>本单位设立</w:t>
      </w:r>
      <w:r>
        <w:rPr>
          <w:rFonts w:ascii="仿宋" w:cs="仿宋" w:eastAsia="仿宋" w:hAnsi="仿宋" w:hint="eastAsia"/>
          <w:kern w:val="2"/>
          <w:sz w:val="32"/>
          <w:szCs w:val="30"/>
          <w:lang w:val="en-US" w:eastAsia="zh-CN"/>
        </w:rPr>
        <w:t>16</w:t>
      </w:r>
      <w:r>
        <w:rPr>
          <w:rFonts w:ascii="仿宋" w:cs="仿宋" w:eastAsia="仿宋" w:hAnsi="仿宋" w:hint="eastAsia"/>
          <w:kern w:val="2"/>
          <w:sz w:val="32"/>
          <w:szCs w:val="30"/>
          <w:lang w:eastAsia="zh-CN"/>
        </w:rPr>
        <w:t>个内设机构，分别是：</w:t>
      </w:r>
      <w:r>
        <w:rPr>
          <w:rFonts w:ascii="仿宋" w:cs="仿宋" w:eastAsia="仿宋" w:hAnsi="仿宋" w:hint="eastAsia"/>
          <w:kern w:val="2"/>
          <w:sz w:val="32"/>
          <w:szCs w:val="30"/>
          <w:lang w:val="en-US" w:eastAsia="zh-CN"/>
        </w:rPr>
        <w:t>党政办、总务处、德育处、教导处、少先队大队部、教研处、现代教育技术中心、校安办、资助中心、中心幼儿园、双江小学、田头小学、大坑小学、新华小学、高山小学、卫东小学。</w:t>
      </w:r>
    </w:p>
    <w:p w14:paraId="0A6E712D">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黑体" w:cs="黑体" w:eastAsia="黑体" w:hAnsi="黑体" w:hint="eastAsia"/>
          <w:b w:val="false"/>
          <w:bCs/>
          <w:sz w:val="32"/>
          <w:szCs w:val="30"/>
        </w:rPr>
      </w:pPr>
      <w:r>
        <w:rPr>
          <w:rFonts w:ascii="仿宋" w:cs="仿宋" w:eastAsia="仿宋" w:hAnsi="仿宋" w:hint="eastAsia"/>
          <w:kern w:val="2"/>
          <w:sz w:val="32"/>
          <w:szCs w:val="30"/>
          <w:lang w:eastAsia="zh-CN"/>
        </w:rPr>
        <w:t>本单位编制人数小计</w:t>
      </w:r>
      <w:r>
        <w:rPr>
          <w:rFonts w:ascii="仿宋" w:cs="仿宋" w:eastAsia="仿宋" w:hAnsi="仿宋" w:hint="eastAsia"/>
          <w:kern w:val="2"/>
          <w:sz w:val="32"/>
          <w:szCs w:val="30"/>
          <w:lang w:val="en-US" w:eastAsia="zh-CN"/>
        </w:rPr>
        <w:t>124</w:t>
      </w:r>
      <w:r>
        <w:rPr>
          <w:rFonts w:ascii="仿宋" w:cs="仿宋" w:eastAsia="仿宋" w:hAnsi="仿宋" w:hint="eastAsia"/>
          <w:kern w:val="2"/>
          <w:sz w:val="32"/>
          <w:szCs w:val="30"/>
          <w:lang w:eastAsia="zh-CN"/>
        </w:rPr>
        <w:t>人，其中：行政编制人数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人，参照公务员管理的事业编制人数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人，全额补助事业编制人数</w:t>
      </w:r>
      <w:r>
        <w:rPr>
          <w:rFonts w:ascii="仿宋" w:cs="仿宋" w:eastAsia="仿宋" w:hAnsi="仿宋" w:hint="eastAsia"/>
          <w:kern w:val="2"/>
          <w:sz w:val="32"/>
          <w:szCs w:val="30"/>
          <w:lang w:val="en-US" w:eastAsia="zh-CN"/>
        </w:rPr>
        <w:t>127</w:t>
      </w:r>
      <w:r>
        <w:rPr>
          <w:rFonts w:ascii="仿宋" w:cs="仿宋" w:eastAsia="仿宋" w:hAnsi="仿宋" w:hint="eastAsia"/>
          <w:kern w:val="2"/>
          <w:sz w:val="32"/>
          <w:szCs w:val="30"/>
          <w:lang w:eastAsia="zh-CN"/>
        </w:rPr>
        <w:t>人，自收自支编制人数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人。本单位实有人数小计</w:t>
      </w:r>
      <w:r>
        <w:rPr>
          <w:rFonts w:ascii="仿宋" w:cs="仿宋" w:eastAsia="仿宋" w:hAnsi="仿宋" w:hint="eastAsia"/>
          <w:kern w:val="2"/>
          <w:sz w:val="32"/>
          <w:szCs w:val="30"/>
          <w:lang w:val="en-US" w:eastAsia="zh-CN"/>
        </w:rPr>
        <w:t>124</w:t>
      </w:r>
      <w:r>
        <w:rPr>
          <w:rFonts w:ascii="仿宋" w:cs="仿宋" w:eastAsia="仿宋" w:hAnsi="仿宋" w:hint="eastAsia"/>
          <w:kern w:val="2"/>
          <w:sz w:val="32"/>
          <w:szCs w:val="30"/>
          <w:lang w:eastAsia="zh-CN"/>
        </w:rPr>
        <w:t>人，其中：在职人数小计</w:t>
      </w:r>
      <w:r>
        <w:rPr>
          <w:rFonts w:ascii="仿宋" w:cs="仿宋" w:eastAsia="仿宋" w:hAnsi="仿宋" w:hint="eastAsia"/>
          <w:kern w:val="2"/>
          <w:sz w:val="32"/>
          <w:szCs w:val="30"/>
          <w:lang w:val="en-US" w:eastAsia="zh-CN"/>
        </w:rPr>
        <w:t>124</w:t>
      </w:r>
      <w:r>
        <w:rPr>
          <w:rFonts w:ascii="仿宋" w:cs="仿宋" w:eastAsia="仿宋" w:hAnsi="仿宋" w:hint="eastAsia"/>
          <w:kern w:val="2"/>
          <w:sz w:val="32"/>
          <w:szCs w:val="30"/>
          <w:lang w:eastAsia="zh-CN"/>
        </w:rPr>
        <w:t>人，行政在职人数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人，参照公务员管理的事业单位在职人数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人，全额补助事业在职人数</w:t>
      </w:r>
      <w:r>
        <w:rPr>
          <w:rFonts w:ascii="仿宋" w:cs="仿宋" w:eastAsia="仿宋" w:hAnsi="仿宋" w:hint="eastAsia"/>
          <w:kern w:val="2"/>
          <w:sz w:val="32"/>
          <w:szCs w:val="30"/>
          <w:lang w:val="en-US" w:eastAsia="zh-CN"/>
        </w:rPr>
        <w:t>124</w:t>
      </w:r>
      <w:r>
        <w:rPr>
          <w:rFonts w:ascii="仿宋" w:cs="仿宋" w:eastAsia="仿宋" w:hAnsi="仿宋" w:hint="eastAsia"/>
          <w:kern w:val="2"/>
          <w:sz w:val="32"/>
          <w:szCs w:val="30"/>
          <w:lang w:eastAsia="zh-CN"/>
        </w:rPr>
        <w:t>人。离休人数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人，退休人数</w:t>
      </w:r>
      <w:r>
        <w:rPr>
          <w:rFonts w:ascii="仿宋" w:cs="仿宋" w:eastAsia="仿宋" w:hAnsi="仿宋" w:hint="eastAsia"/>
          <w:kern w:val="2"/>
          <w:sz w:val="32"/>
          <w:szCs w:val="30"/>
          <w:lang w:val="en-US" w:eastAsia="zh-CN"/>
        </w:rPr>
        <w:t>99</w:t>
      </w:r>
      <w:r>
        <w:rPr>
          <w:rFonts w:ascii="仿宋" w:cs="仿宋" w:eastAsia="仿宋" w:hAnsi="仿宋" w:hint="eastAsia"/>
          <w:kern w:val="2"/>
          <w:sz w:val="32"/>
          <w:szCs w:val="30"/>
          <w:lang w:eastAsia="zh-CN"/>
        </w:rPr>
        <w:t>人，退职人数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人，遗属人数</w:t>
      </w:r>
      <w:r>
        <w:rPr>
          <w:rFonts w:ascii="仿宋" w:cs="仿宋" w:eastAsia="仿宋" w:hAnsi="仿宋" w:hint="eastAsia"/>
          <w:kern w:val="2"/>
          <w:sz w:val="32"/>
          <w:szCs w:val="30"/>
          <w:lang w:val="en-US" w:eastAsia="zh-CN"/>
        </w:rPr>
        <w:t>54</w:t>
      </w:r>
      <w:r>
        <w:rPr>
          <w:rFonts w:ascii="仿宋" w:cs="仿宋" w:eastAsia="仿宋" w:hAnsi="仿宋" w:hint="eastAsia"/>
          <w:kern w:val="2"/>
          <w:sz w:val="32"/>
          <w:szCs w:val="30"/>
          <w:lang w:eastAsia="zh-CN"/>
        </w:rPr>
        <w:t>人。在校学生合计</w:t>
      </w:r>
      <w:r>
        <w:rPr>
          <w:rFonts w:ascii="仿宋" w:cs="仿宋" w:eastAsia="仿宋" w:hAnsi="仿宋" w:hint="eastAsia"/>
          <w:kern w:val="2"/>
          <w:sz w:val="32"/>
          <w:szCs w:val="30"/>
          <w:lang w:val="en-US" w:eastAsia="zh-CN"/>
        </w:rPr>
        <w:t>1311人，其中</w:t>
      </w:r>
      <w:r>
        <w:rPr>
          <w:rFonts w:ascii="仿宋" w:cs="仿宋" w:eastAsia="仿宋" w:hAnsi="仿宋" w:hint="eastAsia"/>
          <w:kern w:val="2"/>
          <w:sz w:val="32"/>
          <w:szCs w:val="30"/>
          <w:lang w:eastAsia="zh-CN"/>
        </w:rPr>
        <w:t>小学</w:t>
      </w:r>
      <w:r>
        <w:rPr>
          <w:rFonts w:ascii="仿宋" w:cs="仿宋" w:eastAsia="仿宋" w:hAnsi="仿宋" w:hint="eastAsia"/>
          <w:kern w:val="2"/>
          <w:sz w:val="32"/>
          <w:szCs w:val="30"/>
          <w:lang w:val="en-US" w:eastAsia="zh-CN"/>
        </w:rPr>
        <w:t>1051</w:t>
      </w:r>
      <w:r>
        <w:rPr>
          <w:rFonts w:ascii="仿宋" w:cs="仿宋" w:eastAsia="仿宋" w:hAnsi="仿宋" w:hint="eastAsia"/>
          <w:kern w:val="2"/>
          <w:sz w:val="32"/>
          <w:szCs w:val="30"/>
          <w:lang w:eastAsia="zh-CN"/>
        </w:rPr>
        <w:t>人，中心幼儿园</w:t>
      </w:r>
      <w:r>
        <w:rPr>
          <w:rFonts w:ascii="仿宋" w:cs="仿宋" w:eastAsia="仿宋" w:hAnsi="仿宋" w:hint="eastAsia"/>
          <w:kern w:val="2"/>
          <w:sz w:val="32"/>
          <w:szCs w:val="30"/>
          <w:lang w:val="en-US" w:eastAsia="zh-CN"/>
        </w:rPr>
        <w:t>255人，附设班5人</w:t>
      </w:r>
      <w:r>
        <w:rPr>
          <w:rFonts w:ascii="仿宋" w:cs="仿宋" w:eastAsia="仿宋" w:hAnsi="仿宋" w:hint="eastAsia"/>
          <w:kern w:val="2"/>
          <w:sz w:val="32"/>
          <w:szCs w:val="30"/>
          <w:lang w:eastAsia="zh-CN"/>
        </w:rPr>
        <w:t>。</w:t>
      </w:r>
    </w:p>
    <w:p w14:paraId="FBBAC463">
      <w:pPr>
        <w:pStyle w:val="style0"/>
        <w:keepNext w:val="false"/>
        <w:keepLines w:val="false"/>
        <w:pageBreakBefore w:val="false"/>
        <w:kinsoku/>
        <w:wordWrap/>
        <w:overflowPunct/>
        <w:topLinePunct w:val="false"/>
        <w:autoSpaceDE/>
        <w:autoSpaceDN/>
        <w:bidi w:val="false"/>
        <w:adjustRightInd w:val="false"/>
        <w:snapToGrid w:val="false"/>
        <w:spacing w:lineRule="exact" w:line="520"/>
        <w:ind w:firstLine="640" w:firstLineChars="200"/>
        <w:jc w:val="center"/>
        <w:textAlignment w:val="auto"/>
        <w:rPr>
          <w:rFonts w:ascii="黑体" w:cs="黑体" w:eastAsia="黑体" w:hAnsi="黑体" w:hint="eastAsia"/>
          <w:b w:val="false"/>
          <w:bCs/>
          <w:sz w:val="32"/>
          <w:szCs w:val="30"/>
          <w:lang w:eastAsia="zh-CN"/>
        </w:rPr>
      </w:pPr>
      <w:r>
        <w:rPr>
          <w:rFonts w:ascii="黑体" w:cs="黑体" w:eastAsia="黑体" w:hAnsi="黑体" w:hint="eastAsia"/>
          <w:b w:val="false"/>
          <w:bCs/>
          <w:sz w:val="32"/>
          <w:szCs w:val="30"/>
        </w:rPr>
        <w:t xml:space="preserve">第二部分  </w:t>
      </w:r>
      <w:r>
        <w:rPr>
          <w:rFonts w:ascii="黑体" w:cs="黑体" w:eastAsia="黑体" w:hAnsi="黑体" w:hint="eastAsia"/>
          <w:b w:val="false"/>
          <w:bCs/>
          <w:sz w:val="32"/>
          <w:szCs w:val="32"/>
        </w:rPr>
        <w:t>赣州市南康区</w:t>
      </w:r>
      <w:r>
        <w:rPr>
          <w:rFonts w:ascii="黑体" w:cs="黑体" w:eastAsia="黑体" w:hAnsi="黑体" w:hint="eastAsia"/>
          <w:b w:val="false"/>
          <w:bCs/>
          <w:sz w:val="32"/>
          <w:szCs w:val="32"/>
          <w:lang w:eastAsia="zh-CN"/>
        </w:rPr>
        <w:t>龙华镇中心小学</w:t>
      </w:r>
      <w:r>
        <w:rPr>
          <w:rFonts w:ascii="黑体" w:cs="黑体" w:eastAsia="黑体" w:hAnsi="黑体" w:hint="eastAsia"/>
          <w:b w:val="false"/>
          <w:bCs/>
          <w:sz w:val="32"/>
          <w:szCs w:val="30"/>
          <w:lang w:val="en-US" w:eastAsia="zh-CN"/>
        </w:rPr>
        <w:t>2025</w:t>
      </w:r>
      <w:r>
        <w:rPr>
          <w:rFonts w:ascii="黑体" w:cs="黑体" w:eastAsia="黑体" w:hAnsi="黑体" w:hint="eastAsia"/>
          <w:b w:val="false"/>
          <w:bCs/>
          <w:sz w:val="32"/>
          <w:szCs w:val="30"/>
        </w:rPr>
        <w:t>年</w:t>
      </w:r>
      <w:r>
        <w:rPr>
          <w:rFonts w:ascii="黑体" w:cs="黑体" w:eastAsia="黑体" w:hAnsi="黑体" w:hint="eastAsia"/>
          <w:b w:val="false"/>
          <w:bCs/>
          <w:sz w:val="32"/>
          <w:szCs w:val="30"/>
          <w:lang w:eastAsia="zh-CN"/>
        </w:rPr>
        <w:t>部门预算表</w:t>
      </w:r>
    </w:p>
    <w:p w14:paraId="0AB513AE">
      <w:pPr>
        <w:pStyle w:val="style0"/>
        <w:keepNext w:val="false"/>
        <w:keepLines w:val="false"/>
        <w:pageBreakBefore w:val="false"/>
        <w:kinsoku/>
        <w:wordWrap/>
        <w:overflowPunct/>
        <w:topLinePunct w:val="false"/>
        <w:autoSpaceDE/>
        <w:autoSpaceDN/>
        <w:bidi w:val="false"/>
        <w:spacing w:lineRule="exact" w:line="520"/>
        <w:ind w:firstLine="640" w:firstLineChars="200"/>
        <w:jc w:val="left"/>
        <w:textAlignment w:val="auto"/>
        <w:rPr>
          <w:rFonts w:ascii="仿宋" w:cs="仿宋" w:eastAsia="仿宋" w:hAnsi="仿宋" w:hint="eastAsia"/>
          <w:kern w:val="2"/>
          <w:sz w:val="32"/>
          <w:szCs w:val="30"/>
          <w:lang w:val="en-US" w:bidi="ar-SA" w:eastAsia="zh-CN"/>
        </w:rPr>
      </w:pPr>
    </w:p>
    <w:p w14:paraId="8D17631E">
      <w:pPr>
        <w:pStyle w:val="style0"/>
        <w:keepNext w:val="false"/>
        <w:keepLines w:val="false"/>
        <w:pageBreakBefore w:val="false"/>
        <w:kinsoku/>
        <w:wordWrap/>
        <w:overflowPunct/>
        <w:topLinePunct w:val="false"/>
        <w:autoSpaceDE/>
        <w:autoSpaceDN/>
        <w:bidi w:val="false"/>
        <w:spacing w:lineRule="exact" w:line="520"/>
        <w:ind w:firstLine="640" w:firstLineChars="200"/>
        <w:jc w:val="left"/>
        <w:textAlignment w:val="auto"/>
        <w:rPr>
          <w:rFonts w:ascii="仿宋" w:cs="仿宋" w:eastAsia="仿宋" w:hAnsi="仿宋" w:hint="eastAsia"/>
          <w:kern w:val="2"/>
          <w:sz w:val="32"/>
          <w:szCs w:val="30"/>
          <w:lang w:val="en-US" w:bidi="ar-SA" w:eastAsia="zh-CN"/>
        </w:rPr>
      </w:pPr>
      <w:r>
        <w:rPr>
          <w:rFonts w:ascii="仿宋" w:cs="仿宋" w:eastAsia="仿宋" w:hAnsi="仿宋" w:hint="eastAsia"/>
          <w:kern w:val="2"/>
          <w:sz w:val="32"/>
          <w:szCs w:val="30"/>
          <w:lang w:val="en-US" w:bidi="ar-SA" w:eastAsia="zh-CN"/>
        </w:rPr>
        <w:t>（详见附表）</w:t>
      </w:r>
    </w:p>
    <w:p w14:paraId="00E7C9D0">
      <w:pPr>
        <w:pStyle w:val="style0"/>
        <w:keepNext w:val="false"/>
        <w:keepLines w:val="false"/>
        <w:pageBreakBefore w:val="false"/>
        <w:kinsoku/>
        <w:wordWrap/>
        <w:overflowPunct/>
        <w:topLinePunct w:val="false"/>
        <w:autoSpaceDE/>
        <w:autoSpaceDN/>
        <w:bidi w:val="false"/>
        <w:spacing w:lineRule="exact" w:line="520"/>
        <w:ind w:firstLine="640" w:firstLineChars="200"/>
        <w:jc w:val="left"/>
        <w:textAlignment w:val="auto"/>
        <w:rPr>
          <w:rFonts w:ascii="仿宋" w:cs="仿宋" w:eastAsia="仿宋" w:hAnsi="仿宋" w:hint="eastAsia"/>
          <w:kern w:val="2"/>
          <w:sz w:val="32"/>
          <w:szCs w:val="30"/>
          <w:lang w:val="en-US" w:bidi="ar-SA" w:eastAsia="zh-CN"/>
        </w:rPr>
      </w:pPr>
    </w:p>
    <w:p w14:paraId="C7A656E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20"/>
        <w:ind w:firstLine="640" w:firstLineChars="200"/>
        <w:jc w:val="center"/>
        <w:textAlignment w:val="auto"/>
        <w:rPr>
          <w:rFonts w:ascii="黑体" w:cs="黑体" w:eastAsia="黑体" w:hAnsi="黑体" w:hint="eastAsia"/>
          <w:b w:val="false"/>
          <w:bCs/>
          <w:sz w:val="32"/>
          <w:szCs w:val="30"/>
        </w:rPr>
      </w:pPr>
      <w:r>
        <w:rPr>
          <w:rFonts w:ascii="黑体" w:cs="黑体" w:eastAsia="黑体" w:hAnsi="黑体" w:hint="eastAsia"/>
          <w:b w:val="false"/>
          <w:bCs/>
          <w:sz w:val="32"/>
          <w:szCs w:val="30"/>
        </w:rPr>
        <w:t xml:space="preserve">第三部分  </w:t>
      </w:r>
      <w:r>
        <w:rPr>
          <w:rFonts w:ascii="黑体" w:cs="黑体" w:eastAsia="黑体" w:hAnsi="黑体" w:hint="eastAsia"/>
          <w:b w:val="false"/>
          <w:bCs/>
          <w:sz w:val="32"/>
          <w:szCs w:val="32"/>
        </w:rPr>
        <w:t>赣州市南康区</w:t>
      </w:r>
      <w:r>
        <w:rPr>
          <w:rFonts w:ascii="黑体" w:cs="黑体" w:eastAsia="黑体" w:hAnsi="黑体" w:hint="eastAsia"/>
          <w:b w:val="false"/>
          <w:bCs/>
          <w:sz w:val="32"/>
          <w:szCs w:val="32"/>
          <w:lang w:eastAsia="zh-CN"/>
        </w:rPr>
        <w:t>龙华镇中心小学</w:t>
      </w:r>
      <w:r>
        <w:rPr>
          <w:rFonts w:ascii="黑体" w:cs="黑体" w:eastAsia="黑体" w:hAnsi="黑体" w:hint="eastAsia"/>
          <w:b w:val="false"/>
          <w:bCs/>
          <w:sz w:val="32"/>
          <w:szCs w:val="30"/>
          <w:lang w:eastAsia="zh-CN"/>
        </w:rPr>
        <w:t>202</w:t>
      </w:r>
      <w:r>
        <w:rPr>
          <w:rFonts w:ascii="黑体" w:cs="黑体" w:eastAsia="黑体" w:hAnsi="黑体" w:hint="eastAsia"/>
          <w:b w:val="false"/>
          <w:bCs/>
          <w:sz w:val="32"/>
          <w:szCs w:val="30"/>
          <w:lang w:val="en-US" w:eastAsia="zh-CN"/>
        </w:rPr>
        <w:t>5</w:t>
      </w:r>
      <w:r>
        <w:rPr>
          <w:rFonts w:ascii="黑体" w:cs="黑体" w:eastAsia="黑体" w:hAnsi="黑体" w:hint="eastAsia"/>
          <w:b w:val="false"/>
          <w:bCs/>
          <w:sz w:val="32"/>
          <w:szCs w:val="30"/>
        </w:rPr>
        <w:t>年部门预算情况说明</w:t>
      </w:r>
    </w:p>
    <w:p w14:paraId="68BEF7F8">
      <w:pPr>
        <w:pStyle w:val="style0"/>
        <w:keepNext w:val="false"/>
        <w:keepLines w:val="false"/>
        <w:pageBreakBefore w:val="false"/>
        <w:widowControl w:val="false"/>
        <w:kinsoku/>
        <w:wordWrap/>
        <w:overflowPunct/>
        <w:topLinePunct w:val="false"/>
        <w:autoSpaceDE/>
        <w:autoSpaceDN/>
        <w:bidi w:val="false"/>
        <w:spacing w:lineRule="exact" w:line="540"/>
        <w:jc w:val="center"/>
        <w:textAlignment w:val="auto"/>
        <w:rPr>
          <w:rFonts w:ascii="仿宋_GB2312" w:eastAsia="仿宋_GB2312"/>
          <w:b/>
          <w:sz w:val="32"/>
          <w:szCs w:val="30"/>
        </w:rPr>
      </w:pPr>
    </w:p>
    <w:p w14:paraId="B98539AC">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jc w:val="left"/>
        <w:textAlignment w:val="auto"/>
        <w:rPr>
          <w:rFonts w:ascii="黑体" w:cs="黑体" w:eastAsia="黑体" w:hAnsi="黑体" w:hint="eastAsia"/>
          <w:b w:val="false"/>
          <w:bCs/>
          <w:sz w:val="32"/>
          <w:szCs w:val="30"/>
        </w:rPr>
      </w:pPr>
      <w:r>
        <w:rPr>
          <w:rFonts w:ascii="黑体" w:cs="黑体" w:eastAsia="黑体" w:hAnsi="黑体" w:hint="eastAsia"/>
          <w:b w:val="false"/>
          <w:bCs/>
          <w:sz w:val="32"/>
          <w:szCs w:val="30"/>
        </w:rPr>
        <w:t>一、</w:t>
      </w:r>
      <w:r>
        <w:rPr>
          <w:rFonts w:ascii="黑体" w:cs="黑体" w:eastAsia="黑体" w:hAnsi="黑体" w:hint="eastAsia"/>
          <w:b w:val="false"/>
          <w:bCs/>
          <w:sz w:val="32"/>
          <w:szCs w:val="30"/>
          <w:lang w:eastAsia="zh-CN"/>
        </w:rPr>
        <w:t>202</w:t>
      </w:r>
      <w:r>
        <w:rPr>
          <w:rFonts w:ascii="黑体" w:cs="黑体" w:eastAsia="黑体" w:hAnsi="黑体" w:hint="eastAsia"/>
          <w:b w:val="false"/>
          <w:bCs/>
          <w:sz w:val="32"/>
          <w:szCs w:val="30"/>
          <w:lang w:val="en-US" w:eastAsia="zh-CN"/>
        </w:rPr>
        <w:t>5</w:t>
      </w:r>
      <w:r>
        <w:rPr>
          <w:rFonts w:ascii="黑体" w:cs="黑体" w:eastAsia="黑体" w:hAnsi="黑体" w:hint="eastAsia"/>
          <w:b w:val="false"/>
          <w:bCs/>
          <w:sz w:val="32"/>
          <w:szCs w:val="30"/>
        </w:rPr>
        <w:t>年部门预算收支情况说明</w:t>
      </w:r>
    </w:p>
    <w:p w14:paraId="B0B269C8">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_GB2312" w:cs="楷体_GB2312" w:eastAsia="楷体_GB2312" w:hAnsi="楷体_GB2312" w:hint="eastAsia"/>
          <w:b/>
          <w:bCs w:val="false"/>
          <w:color w:val="ff0000"/>
          <w:sz w:val="32"/>
          <w:szCs w:val="32"/>
          <w:lang w:eastAsia="zh-CN"/>
        </w:rPr>
      </w:pPr>
      <w:r>
        <w:rPr>
          <w:rStyle w:val="style4098"/>
          <w:rFonts w:ascii="楷体" w:cs="楷体" w:eastAsia="楷体" w:hAnsi="楷体" w:hint="eastAsia"/>
          <w:b/>
          <w:sz w:val="32"/>
          <w:szCs w:val="32"/>
        </w:rPr>
        <w:t>（</w:t>
      </w:r>
      <w:r>
        <w:rPr>
          <w:rStyle w:val="style4098"/>
          <w:rFonts w:ascii="楷体" w:cs="楷体" w:eastAsia="楷体" w:hAnsi="楷体" w:hint="eastAsia"/>
          <w:b/>
          <w:sz w:val="32"/>
          <w:szCs w:val="32"/>
          <w:lang w:eastAsia="zh-CN"/>
        </w:rPr>
        <w:t>一</w:t>
      </w:r>
      <w:r>
        <w:rPr>
          <w:rStyle w:val="style4098"/>
          <w:rFonts w:ascii="楷体" w:cs="楷体" w:eastAsia="楷体" w:hAnsi="楷体" w:hint="eastAsia"/>
          <w:b/>
          <w:sz w:val="32"/>
          <w:szCs w:val="32"/>
        </w:rPr>
        <w:t>）收入预算情况</w:t>
      </w:r>
    </w:p>
    <w:p w14:paraId="6486B14E">
      <w:pPr>
        <w:pStyle w:val="style0"/>
        <w:keepNext w:val="false"/>
        <w:keepLines w:val="false"/>
        <w:pageBreakBefore w:val="false"/>
        <w:widowControl/>
        <w:kinsoku/>
        <w:wordWrap/>
        <w:overflowPunct/>
        <w:topLinePunct w:val="false"/>
        <w:autoSpaceDE/>
        <w:autoSpaceDN/>
        <w:bidi w:val="false"/>
        <w:spacing w:lineRule="exact" w:line="520"/>
        <w:ind w:firstLine="640" w:firstLineChars="200"/>
        <w:textAlignment w:val="auto"/>
        <w:rPr>
          <w:rFonts w:ascii="仿宋" w:cs="Times New Roman" w:eastAsia="仿宋" w:hAnsi="仿宋"/>
          <w:kern w:val="0"/>
          <w:sz w:val="32"/>
        </w:rPr>
      </w:pPr>
      <w:r>
        <w:rPr>
          <w:rFonts w:ascii="仿宋" w:cs="仿宋" w:eastAsia="仿宋" w:hAnsi="仿宋" w:hint="eastAsia"/>
          <w:kern w:val="2"/>
          <w:sz w:val="32"/>
          <w:szCs w:val="30"/>
          <w:lang w:val="en-US" w:bidi="ar-SA" w:eastAsia="zh-CN"/>
        </w:rPr>
        <w:t>2025年</w:t>
      </w:r>
      <w:r>
        <w:rPr>
          <w:rFonts w:ascii="仿宋" w:cs="仿宋" w:eastAsia="仿宋" w:hAnsi="仿宋" w:hint="eastAsia"/>
          <w:kern w:val="2"/>
          <w:sz w:val="32"/>
          <w:szCs w:val="30"/>
          <w:lang w:eastAsia="zh-CN"/>
        </w:rPr>
        <w:t>赣州市南康区龙华镇中心小学收入预算总额为2126.66万元，较上年预算安排增加</w:t>
      </w:r>
      <w:r>
        <w:rPr>
          <w:rFonts w:ascii="仿宋" w:cs="仿宋" w:eastAsia="仿宋" w:hAnsi="仿宋" w:hint="eastAsia"/>
          <w:kern w:val="2"/>
          <w:sz w:val="32"/>
          <w:szCs w:val="30"/>
          <w:lang w:val="en-US" w:eastAsia="zh-CN"/>
        </w:rPr>
        <w:t>122.01</w:t>
      </w:r>
      <w:r>
        <w:rPr>
          <w:rFonts w:ascii="仿宋" w:cs="仿宋" w:eastAsia="仿宋" w:hAnsi="仿宋" w:hint="eastAsia"/>
          <w:kern w:val="2"/>
          <w:sz w:val="32"/>
          <w:szCs w:val="30"/>
          <w:lang w:eastAsia="zh-CN"/>
        </w:rPr>
        <w:t>万元，主要原因增加其他收入预算。其中：财政拨款收入1446.66万元，较上年预算安排增加</w:t>
      </w:r>
      <w:r>
        <w:rPr>
          <w:rFonts w:ascii="仿宋" w:cs="仿宋" w:eastAsia="仿宋" w:hAnsi="仿宋" w:hint="eastAsia"/>
          <w:kern w:val="2"/>
          <w:sz w:val="32"/>
          <w:szCs w:val="30"/>
          <w:lang w:val="en-US" w:eastAsia="zh-CN"/>
        </w:rPr>
        <w:t>152.01</w:t>
      </w:r>
      <w:r>
        <w:rPr>
          <w:rFonts w:ascii="仿宋" w:cs="仿宋" w:eastAsia="仿宋" w:hAnsi="仿宋" w:hint="eastAsia"/>
          <w:kern w:val="2"/>
          <w:sz w:val="32"/>
          <w:szCs w:val="30"/>
          <w:lang w:eastAsia="zh-CN"/>
        </w:rPr>
        <w:t>万元;教育收费资金收入</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万元;事业单位经营收入</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万元;国库集中支付网上结转</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万元，较上年预算安排减少</w:t>
      </w:r>
      <w:r>
        <w:rPr>
          <w:rFonts w:ascii="仿宋" w:cs="仿宋" w:eastAsia="仿宋" w:hAnsi="仿宋" w:hint="eastAsia"/>
          <w:kern w:val="2"/>
          <w:sz w:val="32"/>
          <w:szCs w:val="30"/>
          <w:lang w:val="en-US" w:eastAsia="zh-CN"/>
        </w:rPr>
        <w:t>62.90</w:t>
      </w:r>
      <w:r>
        <w:rPr>
          <w:rFonts w:ascii="仿宋" w:cs="仿宋" w:eastAsia="仿宋" w:hAnsi="仿宋" w:hint="eastAsia"/>
          <w:kern w:val="2"/>
          <w:sz w:val="32"/>
          <w:szCs w:val="30"/>
          <w:lang w:eastAsia="zh-CN"/>
        </w:rPr>
        <w:t>万元，其他收入</w:t>
      </w:r>
      <w:r>
        <w:rPr>
          <w:rFonts w:ascii="仿宋" w:cs="仿宋" w:eastAsia="仿宋" w:hAnsi="仿宋" w:hint="default"/>
          <w:kern w:val="2"/>
          <w:sz w:val="32"/>
          <w:szCs w:val="30"/>
          <w:lang w:val="en-US" w:eastAsia="zh-CN"/>
        </w:rPr>
        <w:t>680</w:t>
      </w:r>
      <w:r>
        <w:rPr>
          <w:rFonts w:ascii="仿宋" w:cs="仿宋" w:eastAsia="仿宋" w:hAnsi="仿宋" w:hint="eastAsia"/>
          <w:kern w:val="2"/>
          <w:sz w:val="32"/>
          <w:szCs w:val="30"/>
          <w:lang w:val="en-US" w:eastAsia="zh-CN"/>
        </w:rPr>
        <w:t>万元</w:t>
      </w:r>
      <w:r>
        <w:rPr>
          <w:rFonts w:ascii="仿宋" w:cs="仿宋" w:eastAsia="仿宋" w:hAnsi="仿宋" w:hint="eastAsia"/>
          <w:kern w:val="2"/>
          <w:sz w:val="32"/>
          <w:szCs w:val="30"/>
          <w:lang w:eastAsia="zh-CN"/>
        </w:rPr>
        <w:t>。</w:t>
      </w:r>
    </w:p>
    <w:p w14:paraId="8F61B27C">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rPr>
        <w:t>（</w:t>
      </w:r>
      <w:r>
        <w:rPr>
          <w:rStyle w:val="style4098"/>
          <w:rFonts w:ascii="楷体" w:cs="楷体" w:eastAsia="楷体" w:hAnsi="楷体" w:hint="eastAsia"/>
          <w:b/>
          <w:sz w:val="32"/>
          <w:szCs w:val="32"/>
          <w:lang w:eastAsia="zh-CN"/>
        </w:rPr>
        <w:t>二</w:t>
      </w:r>
      <w:r>
        <w:rPr>
          <w:rStyle w:val="style4098"/>
          <w:rFonts w:ascii="楷体" w:cs="楷体" w:eastAsia="楷体" w:hAnsi="楷体" w:hint="eastAsia"/>
          <w:b/>
          <w:sz w:val="32"/>
          <w:szCs w:val="32"/>
        </w:rPr>
        <w:t>）支出预算情况</w:t>
      </w:r>
    </w:p>
    <w:p w14:paraId="E905994A">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年赣州市南康区龙华镇中心小学支出预算总额为支出预算总额为2126.66万元，较上年预算安排增加</w:t>
      </w:r>
      <w:r>
        <w:rPr>
          <w:rFonts w:ascii="仿宋" w:cs="仿宋" w:eastAsia="仿宋" w:hAnsi="仿宋" w:hint="eastAsia"/>
          <w:kern w:val="2"/>
          <w:sz w:val="32"/>
          <w:szCs w:val="30"/>
          <w:lang w:val="en-US" w:eastAsia="zh-CN"/>
        </w:rPr>
        <w:t>122.01</w:t>
      </w:r>
      <w:r>
        <w:rPr>
          <w:rFonts w:ascii="仿宋" w:cs="仿宋" w:eastAsia="仿宋" w:hAnsi="仿宋" w:hint="eastAsia"/>
          <w:kern w:val="2"/>
          <w:sz w:val="32"/>
          <w:szCs w:val="30"/>
          <w:lang w:eastAsia="zh-CN"/>
        </w:rPr>
        <w:t>万元，主要原因是增加了新增单位资金预算。其中：</w:t>
      </w:r>
    </w:p>
    <w:p w14:paraId="41FDC175">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按支出项目类别划分：基本支出1446.47万元，较上年预算安排增加</w:t>
      </w:r>
      <w:r>
        <w:rPr>
          <w:rFonts w:ascii="仿宋" w:cs="仿宋" w:eastAsia="仿宋" w:hAnsi="仿宋" w:hint="eastAsia"/>
          <w:kern w:val="2"/>
          <w:sz w:val="32"/>
          <w:szCs w:val="30"/>
          <w:lang w:val="en-US" w:eastAsia="zh-CN"/>
        </w:rPr>
        <w:t>152.01</w:t>
      </w:r>
      <w:r>
        <w:rPr>
          <w:rFonts w:ascii="仿宋" w:cs="仿宋" w:eastAsia="仿宋" w:hAnsi="仿宋" w:hint="eastAsia"/>
          <w:kern w:val="2"/>
          <w:sz w:val="32"/>
          <w:szCs w:val="30"/>
          <w:lang w:eastAsia="zh-CN"/>
        </w:rPr>
        <w:t>万元，其中：工资福利支出1388.35万元，商品和服务支出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万元，对个人和家庭的补助58.11万元，资本性支出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万元。项目支出680.20万元，较上年预算安排减少</w:t>
      </w:r>
      <w:r>
        <w:rPr>
          <w:rFonts w:ascii="仿宋" w:cs="仿宋" w:eastAsia="仿宋" w:hAnsi="仿宋" w:hint="eastAsia"/>
          <w:kern w:val="2"/>
          <w:sz w:val="32"/>
          <w:szCs w:val="30"/>
          <w:lang w:val="en-US" w:eastAsia="zh-CN"/>
        </w:rPr>
        <w:t>30</w:t>
      </w:r>
      <w:r>
        <w:rPr>
          <w:rFonts w:ascii="仿宋" w:cs="仿宋" w:eastAsia="仿宋" w:hAnsi="仿宋" w:hint="eastAsia"/>
          <w:kern w:val="2"/>
          <w:sz w:val="32"/>
          <w:szCs w:val="30"/>
          <w:lang w:eastAsia="zh-CN"/>
        </w:rPr>
        <w:t>万元，其中：工资福利支出</w:t>
      </w:r>
      <w:r>
        <w:rPr>
          <w:rFonts w:ascii="仿宋" w:cs="仿宋" w:eastAsia="仿宋" w:hAnsi="仿宋" w:hint="eastAsia"/>
          <w:kern w:val="2"/>
          <w:sz w:val="32"/>
          <w:szCs w:val="30"/>
          <w:lang w:val="en-US" w:eastAsia="zh-CN"/>
        </w:rPr>
        <w:t>216</w:t>
      </w:r>
      <w:r>
        <w:rPr>
          <w:rFonts w:ascii="仿宋" w:cs="仿宋" w:eastAsia="仿宋" w:hAnsi="仿宋" w:hint="eastAsia"/>
          <w:kern w:val="2"/>
          <w:sz w:val="32"/>
          <w:szCs w:val="30"/>
          <w:lang w:eastAsia="zh-CN"/>
        </w:rPr>
        <w:t>万元，商品和服务支出</w:t>
      </w:r>
      <w:r>
        <w:rPr>
          <w:rFonts w:ascii="仿宋" w:cs="仿宋" w:eastAsia="仿宋" w:hAnsi="仿宋" w:hint="eastAsia"/>
          <w:kern w:val="2"/>
          <w:sz w:val="32"/>
          <w:szCs w:val="30"/>
          <w:lang w:val="en-US" w:eastAsia="zh-CN"/>
        </w:rPr>
        <w:t>304.2</w:t>
      </w:r>
      <w:r>
        <w:rPr>
          <w:rFonts w:ascii="仿宋" w:cs="仿宋" w:eastAsia="仿宋" w:hAnsi="仿宋" w:hint="eastAsia"/>
          <w:kern w:val="2"/>
          <w:sz w:val="32"/>
          <w:szCs w:val="30"/>
          <w:lang w:eastAsia="zh-CN"/>
        </w:rPr>
        <w:t>万元，对个人和家庭的补助</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万元，资本性支出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万元，对企业补助</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万元，其他支</w:t>
      </w:r>
      <w:r>
        <w:rPr>
          <w:rFonts w:ascii="仿宋" w:cs="仿宋" w:eastAsia="仿宋" w:hAnsi="仿宋" w:hint="eastAsia"/>
          <w:kern w:val="2"/>
          <w:sz w:val="32"/>
          <w:szCs w:val="30"/>
          <w:lang w:val="en-US" w:eastAsia="zh-CN"/>
        </w:rPr>
        <w:t>出1</w:t>
      </w:r>
      <w:r>
        <w:rPr>
          <w:rFonts w:ascii="仿宋" w:cs="仿宋" w:eastAsia="仿宋" w:hAnsi="仿宋" w:hint="eastAsia"/>
          <w:kern w:val="2"/>
          <w:sz w:val="32"/>
          <w:szCs w:val="30"/>
          <w:lang w:eastAsia="zh-CN"/>
        </w:rPr>
        <w:t>60万元。</w:t>
      </w:r>
    </w:p>
    <w:p w14:paraId="34609B4B">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按支出功能科目划分：一般公共服务支出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万元;教育支出2126.66万元，较上年预算安排增加152.01万元;科学技术支出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万元;社会保障和就业支出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万元;卫生健康支出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万元;农林水支出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万元;住房保障支出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w:t>
      </w:r>
    </w:p>
    <w:p w14:paraId="58A3C3C8">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按支出经济分类划分：工资福利支出</w:t>
      </w:r>
      <w:r>
        <w:rPr>
          <w:rFonts w:ascii="仿宋" w:cs="仿宋" w:eastAsia="仿宋" w:hAnsi="仿宋" w:hint="eastAsia"/>
          <w:kern w:val="2"/>
          <w:sz w:val="32"/>
          <w:szCs w:val="30"/>
          <w:lang w:val="en-US" w:eastAsia="zh-CN"/>
        </w:rPr>
        <w:t>1064.35</w:t>
      </w:r>
      <w:r>
        <w:rPr>
          <w:rFonts w:ascii="仿宋" w:cs="仿宋" w:eastAsia="仿宋" w:hAnsi="仿宋" w:hint="eastAsia"/>
          <w:kern w:val="2"/>
          <w:sz w:val="32"/>
          <w:szCs w:val="30"/>
          <w:lang w:eastAsia="zh-CN"/>
        </w:rPr>
        <w:t>万元，较上年预算安排减少</w:t>
      </w:r>
      <w:r>
        <w:rPr>
          <w:rFonts w:ascii="仿宋" w:cs="仿宋" w:eastAsia="仿宋" w:hAnsi="仿宋" w:hint="eastAsia"/>
          <w:kern w:val="2"/>
          <w:sz w:val="32"/>
          <w:szCs w:val="30"/>
          <w:lang w:val="en-US" w:eastAsia="zh-CN"/>
        </w:rPr>
        <w:t>197.07</w:t>
      </w:r>
      <w:r>
        <w:rPr>
          <w:rFonts w:ascii="仿宋" w:cs="仿宋" w:eastAsia="仿宋" w:hAnsi="仿宋" w:hint="eastAsia"/>
          <w:kern w:val="2"/>
          <w:sz w:val="32"/>
          <w:szCs w:val="30"/>
          <w:lang w:eastAsia="zh-CN"/>
        </w:rPr>
        <w:t>万元;商品和服务支出304.2万元，较上年预算安排增加</w:t>
      </w:r>
      <w:r>
        <w:rPr>
          <w:rFonts w:ascii="仿宋" w:cs="仿宋" w:eastAsia="仿宋" w:hAnsi="仿宋" w:hint="eastAsia"/>
          <w:kern w:val="2"/>
          <w:sz w:val="32"/>
          <w:szCs w:val="30"/>
          <w:lang w:val="en-US" w:eastAsia="zh-CN"/>
        </w:rPr>
        <w:t>304.2</w:t>
      </w:r>
      <w:r>
        <w:rPr>
          <w:rFonts w:ascii="仿宋" w:cs="仿宋" w:eastAsia="仿宋" w:hAnsi="仿宋" w:hint="eastAsia"/>
          <w:kern w:val="2"/>
          <w:sz w:val="32"/>
          <w:szCs w:val="30"/>
          <w:lang w:eastAsia="zh-CN"/>
        </w:rPr>
        <w:t>万元;对个人和家庭的补助58.11万元，较上年预算安排增加</w:t>
      </w:r>
      <w:r>
        <w:rPr>
          <w:rFonts w:ascii="仿宋" w:cs="仿宋" w:eastAsia="仿宋" w:hAnsi="仿宋" w:hint="eastAsia"/>
          <w:kern w:val="2"/>
          <w:sz w:val="32"/>
          <w:szCs w:val="30"/>
          <w:lang w:val="en-US" w:eastAsia="zh-CN"/>
        </w:rPr>
        <w:t>7.07</w:t>
      </w:r>
      <w:r>
        <w:rPr>
          <w:rFonts w:ascii="仿宋" w:cs="仿宋" w:eastAsia="仿宋" w:hAnsi="仿宋" w:hint="eastAsia"/>
          <w:kern w:val="2"/>
          <w:sz w:val="32"/>
          <w:szCs w:val="30"/>
          <w:lang w:eastAsia="zh-CN"/>
        </w:rPr>
        <w:t>万元;资本性支出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万元;对企业补助</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w:t>
      </w:r>
    </w:p>
    <w:p w14:paraId="E6227DF1">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rPr>
        <w:t>（</w:t>
      </w:r>
      <w:r>
        <w:rPr>
          <w:rStyle w:val="style4098"/>
          <w:rFonts w:ascii="楷体" w:cs="楷体" w:eastAsia="楷体" w:hAnsi="楷体" w:hint="eastAsia"/>
          <w:b/>
          <w:sz w:val="32"/>
          <w:szCs w:val="32"/>
          <w:lang w:eastAsia="zh-CN"/>
        </w:rPr>
        <w:t>三</w:t>
      </w:r>
      <w:r>
        <w:rPr>
          <w:rStyle w:val="style4098"/>
          <w:rFonts w:ascii="楷体" w:cs="楷体" w:eastAsia="楷体" w:hAnsi="楷体" w:hint="eastAsia"/>
          <w:b/>
          <w:sz w:val="32"/>
          <w:szCs w:val="32"/>
        </w:rPr>
        <w:t>）财政拨款支出情况</w:t>
      </w:r>
    </w:p>
    <w:p w14:paraId="C25B2E28">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年赣州市南康区龙华镇中心小学财政拨款支出预算总额为财政拨款支出预算总额1446.66万元，较上年预算安排增加</w:t>
      </w:r>
      <w:r>
        <w:rPr>
          <w:rFonts w:ascii="仿宋" w:cs="仿宋" w:eastAsia="仿宋" w:hAnsi="仿宋" w:hint="eastAsia"/>
          <w:kern w:val="2"/>
          <w:sz w:val="32"/>
          <w:szCs w:val="30"/>
          <w:lang w:val="en-US" w:eastAsia="zh-CN"/>
        </w:rPr>
        <w:t>152.01</w:t>
      </w:r>
      <w:r>
        <w:rPr>
          <w:rFonts w:ascii="仿宋" w:cs="仿宋" w:eastAsia="仿宋" w:hAnsi="仿宋" w:hint="eastAsia"/>
          <w:kern w:val="2"/>
          <w:sz w:val="32"/>
          <w:szCs w:val="30"/>
          <w:lang w:eastAsia="zh-CN"/>
        </w:rPr>
        <w:t>万元，主要原因是增加政府绩效指标。</w:t>
      </w:r>
    </w:p>
    <w:p w14:paraId="48F09816">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按支出功能科目划分：一般公共服务支出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万元，教育支出1446.66万元，社会保障和就业支出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万元，卫生健康支出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万元，住房保障支出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w:t>
      </w:r>
    </w:p>
    <w:p w14:paraId="BCE2724F">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按支出项目类别划分：基本支出1446.47万元，较上年预算安排增加</w:t>
      </w:r>
      <w:r>
        <w:rPr>
          <w:rFonts w:ascii="仿宋" w:cs="仿宋" w:eastAsia="仿宋" w:hAnsi="仿宋" w:hint="eastAsia"/>
          <w:kern w:val="2"/>
          <w:sz w:val="32"/>
          <w:szCs w:val="30"/>
          <w:lang w:val="en-US" w:eastAsia="zh-CN"/>
        </w:rPr>
        <w:t>152.01</w:t>
      </w:r>
      <w:r>
        <w:rPr>
          <w:rFonts w:ascii="仿宋" w:cs="仿宋" w:eastAsia="仿宋" w:hAnsi="仿宋" w:hint="eastAsia"/>
          <w:kern w:val="2"/>
          <w:sz w:val="32"/>
          <w:szCs w:val="30"/>
          <w:lang w:eastAsia="zh-CN"/>
        </w:rPr>
        <w:t>万元，其中：工资福利支出1388.35万元，商品和服务支出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万元，对个人和家庭的补助58.11万元，资本性支出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万元。项目支出0.20万元，较上年预算安排增加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万元，其中：商品和服务支出0.20万元，对个人和家庭的补助</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万元，资本性支出</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w:t>
      </w:r>
    </w:p>
    <w:p w14:paraId="7C4BD025">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rPr>
        <w:t>（</w:t>
      </w:r>
      <w:r>
        <w:rPr>
          <w:rStyle w:val="style4098"/>
          <w:rFonts w:ascii="楷体" w:cs="楷体" w:eastAsia="楷体" w:hAnsi="楷体" w:hint="eastAsia"/>
          <w:b/>
          <w:sz w:val="32"/>
          <w:szCs w:val="32"/>
          <w:lang w:eastAsia="zh-CN"/>
        </w:rPr>
        <w:t>四</w:t>
      </w:r>
      <w:r>
        <w:rPr>
          <w:rStyle w:val="style4098"/>
          <w:rFonts w:ascii="楷体" w:cs="楷体" w:eastAsia="楷体" w:hAnsi="楷体" w:hint="eastAsia"/>
          <w:b/>
          <w:sz w:val="32"/>
          <w:szCs w:val="32"/>
        </w:rPr>
        <w:t>）政府性基金情况</w:t>
      </w:r>
    </w:p>
    <w:p w14:paraId="6D8C4F0A">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rPr>
        <w:t>2025年赣州市南康区</w:t>
      </w:r>
      <w:r>
        <w:rPr>
          <w:rFonts w:ascii="仿宋" w:cs="仿宋" w:eastAsia="仿宋" w:hAnsi="仿宋" w:hint="eastAsia"/>
          <w:kern w:val="2"/>
          <w:sz w:val="32"/>
          <w:szCs w:val="30"/>
          <w:lang w:eastAsia="zh-CN"/>
        </w:rPr>
        <w:t>龙华镇中心小学</w:t>
      </w:r>
      <w:r>
        <w:rPr>
          <w:rFonts w:ascii="仿宋" w:cs="仿宋" w:eastAsia="仿宋" w:hAnsi="仿宋" w:hint="eastAsia"/>
          <w:kern w:val="2"/>
          <w:sz w:val="32"/>
          <w:szCs w:val="30"/>
        </w:rPr>
        <w:t>没有使用政府性基金预算拨款安排的支出。</w:t>
      </w:r>
      <w:r>
        <w:rPr>
          <w:rFonts w:ascii="仿宋" w:cs="仿宋" w:eastAsia="仿宋" w:hAnsi="仿宋" w:hint="eastAsia"/>
          <w:kern w:val="2"/>
          <w:sz w:val="32"/>
          <w:szCs w:val="30"/>
          <w:lang w:eastAsia="zh-CN"/>
        </w:rPr>
        <w:fldChar w:fldCharType="begin"/>
      </w:r>
      <w:r>
        <w:rPr>
          <w:rFonts w:ascii="仿宋" w:cs="仿宋" w:eastAsia="仿宋" w:hAnsi="仿宋" w:hint="eastAsia"/>
          <w:kern w:val="2"/>
          <w:sz w:val="32"/>
          <w:szCs w:val="30"/>
          <w:lang w:eastAsia="zh-CN"/>
        </w:rPr>
        <w:instrText>MERGEFIELD ${page400644146.ds215660413_REP_BGT_T_HC1100002019_DXQ02_JBZCQKGY}</w:instrText>
      </w:r>
      <w:r>
        <w:rPr>
          <w:rFonts w:ascii="仿宋" w:cs="仿宋" w:eastAsia="仿宋" w:hAnsi="仿宋" w:hint="eastAsia"/>
          <w:kern w:val="2"/>
          <w:sz w:val="32"/>
          <w:szCs w:val="30"/>
          <w:lang w:eastAsia="zh-CN"/>
        </w:rPr>
        <w:fldChar w:fldCharType="separate"/>
      </w:r>
      <w:r>
        <w:rPr>
          <w:rFonts w:ascii="仿宋" w:cs="仿宋" w:eastAsia="仿宋" w:hAnsi="仿宋" w:hint="eastAsia"/>
          <w:kern w:val="2"/>
          <w:sz w:val="32"/>
          <w:szCs w:val="30"/>
          <w:lang w:eastAsia="zh-CN"/>
        </w:rPr>
        <w:fldChar w:fldCharType="end"/>
      </w:r>
      <w:r>
        <w:rPr>
          <w:rFonts w:ascii="仿宋" w:cs="仿宋" w:eastAsia="仿宋" w:hAnsi="仿宋" w:hint="eastAsia"/>
          <w:kern w:val="2"/>
          <w:sz w:val="32"/>
          <w:szCs w:val="30"/>
          <w:lang w:eastAsia="zh-CN"/>
        </w:rPr>
        <w:fldChar w:fldCharType="begin"/>
      </w:r>
      <w:r>
        <w:rPr>
          <w:rFonts w:ascii="仿宋" w:cs="仿宋" w:eastAsia="仿宋" w:hAnsi="仿宋" w:hint="eastAsia"/>
          <w:kern w:val="2"/>
          <w:sz w:val="32"/>
          <w:szCs w:val="30"/>
          <w:lang w:eastAsia="zh-CN"/>
        </w:rPr>
        <w:instrText>MERGEFIELD ${page400644146.ds215660413_REP_BGT_T_HC1100002019_DXQ02_XMZCQKGY}</w:instrText>
      </w:r>
      <w:r>
        <w:rPr>
          <w:rFonts w:ascii="仿宋" w:cs="仿宋" w:eastAsia="仿宋" w:hAnsi="仿宋" w:hint="eastAsia"/>
          <w:kern w:val="2"/>
          <w:sz w:val="32"/>
          <w:szCs w:val="30"/>
          <w:lang w:eastAsia="zh-CN"/>
        </w:rPr>
        <w:fldChar w:fldCharType="separate"/>
      </w:r>
      <w:r>
        <w:rPr>
          <w:rFonts w:ascii="仿宋" w:cs="仿宋" w:eastAsia="仿宋" w:hAnsi="仿宋" w:hint="eastAsia"/>
          <w:kern w:val="2"/>
          <w:sz w:val="32"/>
          <w:szCs w:val="30"/>
          <w:lang w:eastAsia="zh-CN"/>
        </w:rPr>
        <w:fldChar w:fldCharType="end"/>
      </w:r>
      <w:r>
        <w:rPr>
          <w:rFonts w:ascii="仿宋" w:cs="仿宋" w:eastAsia="仿宋" w:hAnsi="仿宋" w:hint="eastAsia"/>
          <w:kern w:val="2"/>
          <w:sz w:val="32"/>
          <w:szCs w:val="30"/>
          <w:lang w:eastAsia="zh-CN"/>
        </w:rPr>
        <w:fldChar w:fldCharType="begin"/>
      </w:r>
      <w:r>
        <w:rPr>
          <w:rFonts w:ascii="仿宋" w:cs="仿宋" w:eastAsia="仿宋" w:hAnsi="仿宋" w:hint="eastAsia"/>
          <w:kern w:val="2"/>
          <w:sz w:val="32"/>
          <w:szCs w:val="30"/>
          <w:lang w:eastAsia="zh-CN"/>
        </w:rPr>
        <w:instrText>MERGEFIELD ${page400644146.ds215660413_REP_BGT_T_HC1100002019_DXQ02_XMZCQKJJ}</w:instrText>
      </w:r>
      <w:r>
        <w:rPr>
          <w:rFonts w:ascii="仿宋" w:cs="仿宋" w:eastAsia="仿宋" w:hAnsi="仿宋" w:hint="eastAsia"/>
          <w:kern w:val="2"/>
          <w:sz w:val="32"/>
          <w:szCs w:val="30"/>
          <w:lang w:eastAsia="zh-CN"/>
        </w:rPr>
        <w:fldChar w:fldCharType="separate"/>
      </w:r>
      <w:r>
        <w:rPr>
          <w:rFonts w:ascii="仿宋" w:cs="仿宋" w:eastAsia="仿宋" w:hAnsi="仿宋" w:hint="eastAsia"/>
          <w:kern w:val="2"/>
          <w:sz w:val="32"/>
          <w:szCs w:val="30"/>
          <w:lang w:eastAsia="zh-CN"/>
        </w:rPr>
        <w:fldChar w:fldCharType="end"/>
      </w:r>
    </w:p>
    <w:p w14:paraId="1A2B709E">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rPr>
        <w:t>（五）国有资本经营情况</w:t>
      </w:r>
    </w:p>
    <w:p w14:paraId="4B1340C5">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textAlignment w:val="auto"/>
        <w:rPr>
          <w:rFonts w:ascii="仿宋" w:cs="仿宋" w:eastAsia="仿宋" w:hAnsi="仿宋" w:hint="eastAsia"/>
          <w:kern w:val="2"/>
          <w:sz w:val="32"/>
          <w:szCs w:val="30"/>
        </w:rPr>
      </w:pPr>
      <w:r>
        <w:rPr>
          <w:rFonts w:ascii="仿宋" w:cs="仿宋" w:eastAsia="仿宋" w:hAnsi="仿宋" w:hint="eastAsia"/>
          <w:kern w:val="2"/>
          <w:sz w:val="32"/>
          <w:szCs w:val="30"/>
        </w:rPr>
        <w:t>2025年赣州市南康区</w:t>
      </w:r>
      <w:r>
        <w:rPr>
          <w:rFonts w:ascii="仿宋" w:cs="仿宋" w:eastAsia="仿宋" w:hAnsi="仿宋" w:hint="eastAsia"/>
          <w:kern w:val="2"/>
          <w:sz w:val="32"/>
          <w:szCs w:val="30"/>
          <w:lang w:eastAsia="zh-CN"/>
        </w:rPr>
        <w:t>龙华镇中心小学</w:t>
      </w:r>
      <w:r>
        <w:rPr>
          <w:rFonts w:ascii="仿宋" w:cs="仿宋" w:eastAsia="仿宋" w:hAnsi="仿宋" w:hint="eastAsia"/>
          <w:kern w:val="2"/>
          <w:sz w:val="32"/>
          <w:szCs w:val="30"/>
        </w:rPr>
        <w:t>没有使用政府性基金预算拨款安排的支出。</w:t>
      </w:r>
    </w:p>
    <w:p w14:paraId="0D0B5B82">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六</w:t>
      </w: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机关运行经费等重要事项的说明</w:t>
      </w:r>
    </w:p>
    <w:p w14:paraId="3B4CACF2">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年部门机关运行费预算</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万元，比202</w:t>
      </w:r>
      <w:r>
        <w:rPr>
          <w:rFonts w:ascii="仿宋" w:cs="仿宋" w:eastAsia="仿宋" w:hAnsi="仿宋" w:hint="eastAsia"/>
          <w:kern w:val="2"/>
          <w:sz w:val="32"/>
          <w:szCs w:val="30"/>
          <w:lang w:val="en-US" w:eastAsia="zh-CN"/>
        </w:rPr>
        <w:t>4</w:t>
      </w:r>
      <w:r>
        <w:rPr>
          <w:rFonts w:ascii="仿宋" w:cs="仿宋" w:eastAsia="仿宋" w:hAnsi="仿宋" w:hint="eastAsia"/>
          <w:kern w:val="2"/>
          <w:sz w:val="32"/>
          <w:szCs w:val="30"/>
          <w:lang w:eastAsia="zh-CN"/>
        </w:rPr>
        <w:t>年预算增加</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万元，增长</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%，主要原因是本单位不属于机关单位，无机关运行经费。</w:t>
      </w:r>
    </w:p>
    <w:p w14:paraId="10BDF72A">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1604FE">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七</w:t>
      </w: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政府采购情况</w:t>
      </w:r>
    </w:p>
    <w:p w14:paraId="42D5422B">
      <w:pPr>
        <w:pStyle w:val="style0"/>
        <w:keepNext w:val="false"/>
        <w:keepLines w:val="false"/>
        <w:pageBreakBefore w:val="false"/>
        <w:kinsoku/>
        <w:wordWrap/>
        <w:overflowPunct/>
        <w:topLinePunct w:val="false"/>
        <w:autoSpaceDE/>
        <w:autoSpaceDN/>
        <w:bidi w:val="false"/>
        <w:spacing w:lineRule="exact" w:line="520"/>
        <w:ind w:firstLine="640" w:firstLineChars="200"/>
        <w:textAlignment w:val="auto"/>
        <w:rPr>
          <w:rFonts w:ascii="仿宋" w:cs="仿宋" w:eastAsia="仿宋" w:hAnsi="仿宋" w:hint="eastAsia"/>
          <w:kern w:val="2"/>
          <w:sz w:val="32"/>
          <w:szCs w:val="30"/>
          <w:lang w:val="en-US" w:bidi="ar-SA" w:eastAsia="zh-CN"/>
        </w:rPr>
      </w:pPr>
      <w:r>
        <w:rPr>
          <w:rFonts w:ascii="仿宋" w:cs="仿宋" w:eastAsia="仿宋" w:hAnsi="仿宋" w:hint="eastAsia"/>
          <w:kern w:val="2"/>
          <w:sz w:val="32"/>
          <w:szCs w:val="30"/>
          <w:lang w:val="en-US" w:bidi="ar-SA" w:eastAsia="zh-CN"/>
        </w:rPr>
        <w:t>2025年赣州市南康区龙华镇中心小学政府采购总额</w:t>
      </w:r>
      <w:r>
        <w:rPr>
          <w:rFonts w:ascii="仿宋" w:cs="仿宋" w:eastAsia="仿宋" w:hAnsi="仿宋" w:hint="eastAsia"/>
          <w:kern w:val="2"/>
          <w:sz w:val="32"/>
          <w:szCs w:val="30"/>
          <w:lang w:val="en-US" w:eastAsia="zh-CN"/>
        </w:rPr>
        <w:t>30</w:t>
      </w:r>
      <w:r>
        <w:rPr>
          <w:rFonts w:ascii="仿宋" w:cs="仿宋" w:eastAsia="仿宋" w:hAnsi="仿宋" w:hint="eastAsia"/>
          <w:kern w:val="2"/>
          <w:sz w:val="32"/>
          <w:szCs w:val="30"/>
          <w:lang w:val="en-US" w:bidi="ar-SA" w:eastAsia="zh-CN"/>
        </w:rPr>
        <w:t>万元，其中: 政府采购货物预算</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val="en-US" w:bidi="ar-SA" w:eastAsia="zh-CN"/>
        </w:rPr>
        <w:t>万元，政府采购工程预算</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val="en-US" w:bidi="ar-SA" w:eastAsia="zh-CN"/>
        </w:rPr>
        <w:t>万元，政府采购服务预算</w:t>
      </w:r>
      <w:r>
        <w:rPr>
          <w:rFonts w:ascii="仿宋" w:cs="仿宋" w:eastAsia="仿宋" w:hAnsi="仿宋" w:hint="eastAsia"/>
          <w:kern w:val="2"/>
          <w:sz w:val="32"/>
          <w:szCs w:val="30"/>
          <w:lang w:val="en-US" w:eastAsia="zh-CN"/>
        </w:rPr>
        <w:t>30</w:t>
      </w:r>
      <w:r>
        <w:rPr>
          <w:rFonts w:ascii="仿宋" w:cs="仿宋" w:eastAsia="仿宋" w:hAnsi="仿宋" w:hint="eastAsia"/>
          <w:kern w:val="2"/>
          <w:sz w:val="32"/>
          <w:szCs w:val="30"/>
          <w:lang w:val="en-US" w:bidi="ar-SA" w:eastAsia="zh-CN"/>
        </w:rPr>
        <w:t>万元。</w:t>
      </w:r>
    </w:p>
    <w:p w14:paraId="16FC3BE7">
      <w:pPr>
        <w:pStyle w:val="style0"/>
        <w:keepNext w:val="false"/>
        <w:keepLines w:val="false"/>
        <w:pageBreakBefore w:val="false"/>
        <w:widowControl w:val="false"/>
        <w:kinsoku/>
        <w:wordWrap/>
        <w:overflowPunct/>
        <w:topLinePunct w:val="false"/>
        <w:autoSpaceDE/>
        <w:autoSpaceDN/>
        <w:bidi w:val="false"/>
        <w:spacing w:lineRule="exact" w:line="54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八</w:t>
      </w:r>
      <w:r>
        <w:rPr>
          <w:rStyle w:val="style4098"/>
          <w:rFonts w:ascii="楷体" w:cs="楷体" w:eastAsia="楷体" w:hAnsi="楷体" w:hint="eastAsia"/>
          <w:b/>
          <w:sz w:val="32"/>
          <w:szCs w:val="32"/>
          <w:lang w:eastAsia="zh-CN"/>
        </w:rPr>
        <w:t>）</w:t>
      </w:r>
      <w:r>
        <w:rPr>
          <w:rStyle w:val="style4098"/>
          <w:rFonts w:ascii="楷体" w:cs="楷体" w:eastAsia="楷体" w:hAnsi="楷体" w:hint="eastAsia"/>
          <w:b/>
          <w:sz w:val="32"/>
          <w:szCs w:val="32"/>
        </w:rPr>
        <w:t>国有资产占有使用情况</w:t>
      </w:r>
    </w:p>
    <w:p w14:paraId="3F6A5A4D">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截至202</w:t>
      </w:r>
      <w:r>
        <w:rPr>
          <w:rFonts w:ascii="仿宋" w:cs="仿宋" w:eastAsia="仿宋" w:hAnsi="仿宋" w:hint="eastAsia"/>
          <w:kern w:val="2"/>
          <w:sz w:val="32"/>
          <w:szCs w:val="30"/>
          <w:lang w:val="en-US" w:eastAsia="zh-CN"/>
        </w:rPr>
        <w:t>4年底</w:t>
      </w:r>
      <w:r>
        <w:rPr>
          <w:rFonts w:ascii="仿宋" w:cs="仿宋" w:eastAsia="仿宋" w:hAnsi="仿宋" w:hint="eastAsia"/>
          <w:kern w:val="2"/>
          <w:sz w:val="32"/>
          <w:szCs w:val="30"/>
          <w:lang w:eastAsia="zh-CN"/>
        </w:rPr>
        <w:t>，本单位共有车辆</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辆，其中：一般公务用车实有数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辆，执法执勤用车实有数</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辆。</w:t>
      </w:r>
    </w:p>
    <w:p w14:paraId="C1A1E5ED">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年部门预算安排购置车辆</w:t>
      </w:r>
      <w:r>
        <w:rPr>
          <w:rFonts w:ascii="仿宋" w:cs="仿宋" w:eastAsia="仿宋" w:hAnsi="仿宋" w:hint="eastAsia"/>
          <w:kern w:val="2"/>
          <w:sz w:val="32"/>
          <w:szCs w:val="30"/>
          <w:lang w:val="en-US" w:eastAsia="zh-CN"/>
        </w:rPr>
        <w:t>0</w:t>
      </w:r>
      <w:r>
        <w:rPr>
          <w:rFonts w:ascii="仿宋" w:cs="仿宋" w:eastAsia="仿宋" w:hAnsi="仿宋" w:hint="eastAsia"/>
          <w:kern w:val="2"/>
          <w:sz w:val="32"/>
          <w:szCs w:val="30"/>
          <w:lang w:eastAsia="zh-CN"/>
        </w:rPr>
        <w:t>辆。</w:t>
      </w:r>
    </w:p>
    <w:p w14:paraId="DA6DD3DD">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color w:val="ff0000"/>
          <w:kern w:val="2"/>
          <w:sz w:val="32"/>
          <w:szCs w:val="30"/>
          <w:lang w:eastAsia="zh-CN"/>
        </w:rPr>
      </w:pPr>
      <w:r>
        <w:rPr>
          <w:rFonts w:ascii="仿宋" w:cs="仿宋" w:eastAsia="仿宋" w:hAnsi="仿宋" w:hint="eastAsia"/>
          <w:kern w:val="2"/>
          <w:sz w:val="32"/>
          <w:szCs w:val="30"/>
          <w:lang w:val="en-US" w:eastAsia="zh-CN"/>
        </w:rPr>
        <w:t>2025年</w:t>
      </w:r>
      <w:r>
        <w:rPr>
          <w:rFonts w:ascii="仿宋" w:cs="仿宋" w:eastAsia="仿宋" w:hAnsi="仿宋" w:hint="eastAsia"/>
          <w:kern w:val="2"/>
          <w:sz w:val="32"/>
          <w:szCs w:val="30"/>
          <w:lang w:eastAsia="zh-CN"/>
        </w:rPr>
        <w:t>安排购置单位价值200万元以上大型设备具体为：202</w:t>
      </w:r>
      <w:r>
        <w:rPr>
          <w:rFonts w:ascii="仿宋" w:cs="仿宋" w:eastAsia="仿宋" w:hAnsi="仿宋" w:hint="eastAsia"/>
          <w:kern w:val="2"/>
          <w:sz w:val="32"/>
          <w:szCs w:val="30"/>
          <w:lang w:val="en-US" w:eastAsia="zh-CN"/>
        </w:rPr>
        <w:t>5</w:t>
      </w:r>
      <w:r>
        <w:rPr>
          <w:rFonts w:ascii="仿宋" w:cs="仿宋" w:eastAsia="仿宋" w:hAnsi="仿宋" w:hint="eastAsia"/>
          <w:kern w:val="2"/>
          <w:sz w:val="32"/>
          <w:szCs w:val="30"/>
          <w:lang w:eastAsia="zh-CN"/>
        </w:rPr>
        <w:t>年未安排购置单位价值200万元以上大型设备。</w:t>
      </w:r>
      <w:r>
        <w:rPr>
          <w:rFonts w:ascii="仿宋" w:cs="仿宋" w:eastAsia="仿宋" w:hAnsi="仿宋" w:hint="eastAsia"/>
          <w:color w:val="ff0000"/>
          <w:kern w:val="2"/>
          <w:sz w:val="32"/>
          <w:szCs w:val="30"/>
          <w:lang w:eastAsia="zh-CN"/>
        </w:rPr>
        <w:t xml:space="preserve"> </w:t>
      </w:r>
    </w:p>
    <w:p w14:paraId="54FD1027">
      <w:pPr>
        <w:pStyle w:val="style0"/>
        <w:keepNext w:val="false"/>
        <w:keepLines w:val="false"/>
        <w:pageBreakBefore w:val="false"/>
        <w:kinsoku/>
        <w:wordWrap/>
        <w:overflowPunct/>
        <w:topLinePunct w:val="false"/>
        <w:autoSpaceDE/>
        <w:autoSpaceDN/>
        <w:bidi w:val="false"/>
        <w:spacing w:lineRule="exact" w:line="520"/>
        <w:ind w:firstLine="643" w:firstLineChars="200"/>
        <w:textAlignment w:val="auto"/>
        <w:rPr>
          <w:rStyle w:val="style4098"/>
          <w:rFonts w:ascii="楷体" w:cs="楷体" w:eastAsia="楷体" w:hAnsi="楷体" w:hint="eastAsia"/>
          <w:b/>
          <w:sz w:val="32"/>
          <w:szCs w:val="32"/>
        </w:rPr>
      </w:pPr>
      <w:r>
        <w:rPr>
          <w:rStyle w:val="style4098"/>
          <w:rFonts w:ascii="楷体" w:cs="楷体" w:eastAsia="楷体" w:hAnsi="楷体" w:hint="eastAsia"/>
          <w:b/>
          <w:sz w:val="32"/>
          <w:szCs w:val="32"/>
        </w:rPr>
        <w:t>（九）</w:t>
      </w:r>
      <w:r>
        <w:rPr>
          <w:rStyle w:val="style4098"/>
          <w:rFonts w:ascii="楷体" w:cs="楷体" w:eastAsia="楷体" w:hAnsi="楷体" w:hint="eastAsia"/>
          <w:b/>
          <w:sz w:val="32"/>
          <w:szCs w:val="32"/>
          <w:lang w:eastAsia="zh-CN"/>
        </w:rPr>
        <w:t>赣州市南康区龙华镇中心小学</w:t>
      </w:r>
      <w:r>
        <w:rPr>
          <w:rStyle w:val="style4098"/>
          <w:rFonts w:ascii="楷体" w:cs="楷体" w:eastAsia="楷体" w:hAnsi="楷体" w:hint="eastAsia"/>
          <w:b/>
          <w:sz w:val="32"/>
          <w:szCs w:val="32"/>
        </w:rPr>
        <w:t>项目情况说明</w:t>
      </w:r>
    </w:p>
    <w:p w14:paraId="9F28AF4C">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1.课后服务项目</w:t>
      </w:r>
    </w:p>
    <w:p w14:paraId="77CB3B4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 （1）项目概述：为进一步满足新时代中小学生和家长对课后服务的迫切需求，帮助家长解决实际困难，增强教育公共服务能力。</w:t>
      </w:r>
    </w:p>
    <w:p w14:paraId="2163EF3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 （2）立项依据：根据教育部《关于做好中小学生课后服务工作的指导意见》(教基一厅〔2017〕2号)、省教育厅等四部门《关于做好全省中小学生课后服务工作的指导意见》(赣教发〔2019〕10号)、市教育局等四部门《转发省教育厅等四部门&lt;关于做好全省中小学生课后服务工作的指导意见&gt;的通知》(赣市教基字〔2019〕57号)、区政府办康府办抄字〔2021〕25号等文件精神。</w:t>
      </w:r>
    </w:p>
    <w:p w14:paraId="19D73A6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val="en-US" w:eastAsia="zh-CN"/>
        </w:rPr>
        <w:t xml:space="preserve"> </w:t>
      </w:r>
      <w:r>
        <w:rPr>
          <w:rFonts w:ascii="仿宋" w:cs="仿宋" w:eastAsia="仿宋" w:hAnsi="仿宋" w:hint="eastAsia"/>
          <w:kern w:val="2"/>
          <w:sz w:val="32"/>
          <w:szCs w:val="30"/>
          <w:lang w:eastAsia="zh-CN"/>
        </w:rPr>
        <w:t>（3）实施主体：赣州市南康区龙华镇中心小学。</w:t>
      </w:r>
    </w:p>
    <w:p w14:paraId="A6F6D6AE">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val="en-US" w:eastAsia="zh-CN"/>
        </w:rPr>
        <w:t xml:space="preserve"> </w:t>
      </w:r>
      <w:r>
        <w:rPr>
          <w:rFonts w:ascii="仿宋" w:cs="仿宋" w:eastAsia="仿宋" w:hAnsi="仿宋" w:hint="eastAsia"/>
          <w:kern w:val="2"/>
          <w:sz w:val="32"/>
          <w:szCs w:val="30"/>
          <w:lang w:eastAsia="zh-CN"/>
        </w:rPr>
        <w:t>（4）实施方案：</w:t>
      </w:r>
    </w:p>
    <w:p w14:paraId="CE0AFF06">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一、实施原则</w:t>
      </w:r>
    </w:p>
    <w:p w14:paraId="EAFF03F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学生课后服务工作遵循“家长自愿，校内实施，有效监管”的原则。</w:t>
      </w:r>
    </w:p>
    <w:p w14:paraId="894606BE">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一）是否参加课后服务，由学生家长自愿选择。学校事先下发《课后服务的告知书》征求家长的意见，主动告知服务方式、服务内容、安全保障措施，在自愿的前提下，由家长通过签订课后服务申请书向学校提出书面委托申请。同时家长签订委托学校进行课后服务协议，并报名登记。 </w:t>
      </w:r>
    </w:p>
    <w:p w14:paraId="6296EB5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（二）课后服务安排在校园内进行，并合理利用学校现有条件。学校提供校园内教室、运动场地、功能室等场所及其它后勤安全保障。</w:t>
      </w:r>
    </w:p>
    <w:p w14:paraId="5CA0166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三）完善安全管理制度，切实加强保障课后服务学生安全、有序、有效开展。制定并落实严格的考勤、监管措施。制定《龙华镇中心小学课后服务工作管理制度》、《龙华镇中心小学课后服务考核制度》、《龙华镇中心小学课后服务安全制度》、《龙华镇中心小学课后服务应急预案》、等规章制度。</w:t>
      </w:r>
    </w:p>
    <w:p w14:paraId="5E76A13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二、服务时间：</w:t>
      </w:r>
    </w:p>
    <w:p w14:paraId="E5B4D40F">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周一至周五放学后（2课时），节假日除外。</w:t>
      </w:r>
    </w:p>
    <w:p w14:paraId="FB3C8BA9">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三、组织领导</w:t>
      </w:r>
    </w:p>
    <w:p w14:paraId="6C7467B6">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成立课后服务领导小组</w:t>
      </w:r>
    </w:p>
    <w:p w14:paraId="D929C486">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组  长：钟立平 </w:t>
      </w:r>
    </w:p>
    <w:p w14:paraId="885D326D">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副组长：曾玉梅  王琛  叶贤卫</w:t>
      </w:r>
    </w:p>
    <w:p w14:paraId="C77401C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成  员：袁罗香 刘志文 蓝苏林 刘海涛 刘尧兵 幸世荣 何正楠 郭桂东 刘欣悦 刘志明 </w:t>
      </w:r>
    </w:p>
    <w:p w14:paraId="DD0D1822">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四、具体安排</w:t>
      </w:r>
    </w:p>
    <w:p w14:paraId="1986E40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(一)课后服务活动内容</w:t>
      </w:r>
    </w:p>
    <w:p w14:paraId="4338D7DF">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1.弹性上学服务。在严格执行国家课程方案、开齐开足课程前提下，实行弹性上学，学校尽早开校门，让家长能够从容送孩子上学；强化早到学生管理，使学生“早到可进校、进校有活动、活动有监管”。</w:t>
      </w:r>
    </w:p>
    <w:p w14:paraId="FFB97AF0">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2.在校午休服务。服务时间为午餐后至下午上课前，服务内容为：开放本班教室，所供学生午休。</w:t>
      </w:r>
    </w:p>
    <w:p w14:paraId="C78E716D">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3.课后托管服务和课后兴趣活动服务。我校根据家长需求、学生年级特点及学校实际，具体开设以下项目并提供部分用品：</w:t>
      </w:r>
    </w:p>
    <w:p w14:paraId="EAE16B12">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（1）班级项目</w:t>
      </w:r>
    </w:p>
    <w:p w14:paraId="7CC4BA9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作业辅导、学科素养、阅读与写话、艺术、益智、运动、科技等，详见各班课表；</w:t>
      </w:r>
    </w:p>
    <w:p w14:paraId="8399FC4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（2）学校项目</w:t>
      </w:r>
    </w:p>
    <w:p w14:paraId="596434F5">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为跟踪各年级课后服务开设效果，在课后服务期间适时安排艺术、益智、运动类别等竞赛，丰富课后服务内容，提高课后服务效果。</w:t>
      </w:r>
    </w:p>
    <w:p w14:paraId="7496149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(二)课后服务活动形式</w:t>
      </w:r>
    </w:p>
    <w:p w14:paraId="159890EF">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课后服务活动分班级课程，全校学科素养课程、艺体课程、特色课程四种活动方式。</w:t>
      </w:r>
    </w:p>
    <w:p w14:paraId="75328077">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班级及学科素养课程：由教导处制定计划，安排活动课程及教师，整理活动资料，统计课时，核查上课内容及效果，保证每次活动质量。具体课程安排另附。</w:t>
      </w:r>
    </w:p>
    <w:p w14:paraId="A086AB78">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艺体课程：由德育处制定计划，安排活动课程及教师，整理活动资料，统计课时，核查上课内容及效果，保证每次活动质量。具体课程安排另附。</w:t>
      </w:r>
    </w:p>
    <w:p w14:paraId="25B88BFA">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五、管理机制</w:t>
      </w:r>
    </w:p>
    <w:p w14:paraId="FF25D34D">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（一）教师管理</w:t>
      </w:r>
    </w:p>
    <w:p w14:paraId="9E28B37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1.教师遴选。鼓励和支持教职工在正常履行职责和按质按量完成工作任务前提下，自主申报，接受遴选，积极参与课后服务工作。</w:t>
      </w:r>
    </w:p>
    <w:p w14:paraId="0F1B2205">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工作考核。学校根据实际制定考核方案，将教职工参与课后服务工作表现纳入考核范围，每学期表彰一批表现突出的教职工；对不认真参与、不遵守考勤或其它工作纪律的教职工，要及时进行警醒教育，情节严重者给予相应处分。</w:t>
      </w:r>
    </w:p>
    <w:p w14:paraId="7D799E6C">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3.劳酬发放。对参与课后服务和课后兴趣活动服务的教职工，根据《龙华镇中心小学课后服务工作考核方案》及时发放劳动报酬。</w:t>
      </w:r>
    </w:p>
    <w:p w14:paraId="E4111990">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（二）经费管理</w:t>
      </w:r>
    </w:p>
    <w:p w14:paraId="3EAE808C">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1.课后和课后兴趣活动服务坚持公益原则，不得以营利为目的。严禁以课后服务名义违规收取其他名目的费用。</w:t>
      </w:r>
    </w:p>
    <w:p w14:paraId="E4C9C4DE">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2.实行“收支两条线”管理，课后和课后兴趣活动服务收取的费用通过财政专用账户缴入区财政，再由区财政全额返还后，用于学校课后服务的成本开支。</w:t>
      </w:r>
    </w:p>
    <w:p w14:paraId="06BC0C17">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3.严格执行财务管理制度，建立专项管理账目，专款专用，按规定据实列支。</w:t>
      </w:r>
    </w:p>
    <w:p w14:paraId="EAE80E7B">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 （5）实施周期：2025年01月01—2025年12月31日</w:t>
      </w:r>
    </w:p>
    <w:p w14:paraId="B1190437">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default"/>
          <w:kern w:val="2"/>
          <w:sz w:val="32"/>
          <w:szCs w:val="30"/>
          <w:lang w:val="en-US" w:eastAsia="zh-CN"/>
        </w:rPr>
      </w:pPr>
      <w:r>
        <w:rPr>
          <w:rFonts w:ascii="仿宋" w:cs="仿宋" w:eastAsia="仿宋" w:hAnsi="仿宋" w:hint="eastAsia"/>
          <w:kern w:val="2"/>
          <w:sz w:val="32"/>
          <w:szCs w:val="30"/>
          <w:lang w:eastAsia="zh-CN"/>
        </w:rPr>
        <w:t xml:space="preserve"> （6）年度预算安排：</w:t>
      </w:r>
      <w:r>
        <w:rPr>
          <w:rFonts w:ascii="仿宋" w:cs="仿宋" w:eastAsia="仿宋" w:hAnsi="仿宋" w:hint="eastAsia"/>
          <w:kern w:val="2"/>
          <w:sz w:val="32"/>
          <w:szCs w:val="30"/>
          <w:lang w:val="en-US" w:eastAsia="zh-CN"/>
        </w:rPr>
        <w:t>200万元</w:t>
      </w:r>
    </w:p>
    <w:p w14:paraId="7FBCE1F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 xml:space="preserve"> （7）绩效目标和指标：暂定5条绩效目标和指标</w:t>
      </w:r>
    </w:p>
    <w:p w14:paraId="42C9FD56">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数量指标：有课后服务需求学生的参与率，实现指标100%的参与率。</w:t>
      </w:r>
    </w:p>
    <w:p w14:paraId="55F9DBAD">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质量指标：课后服务费符合标准，实现指标值100%。</w:t>
      </w:r>
    </w:p>
    <w:p w14:paraId="1DD17EA9">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实效指标：资金按规定及时使用，实现指标值100%。</w:t>
      </w:r>
    </w:p>
    <w:p w14:paraId="9CB48B34">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社会效益指标：对减轻学生学习负担和校外培训负担效果，实现指标明显提升</w:t>
      </w:r>
    </w:p>
    <w:p w14:paraId="EF3D18B3">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eastAsia="zh-CN"/>
        </w:rPr>
      </w:pPr>
      <w:r>
        <w:rPr>
          <w:rFonts w:ascii="仿宋" w:cs="仿宋" w:eastAsia="仿宋" w:hAnsi="仿宋" w:hint="eastAsia"/>
          <w:kern w:val="2"/>
          <w:sz w:val="32"/>
          <w:szCs w:val="30"/>
          <w:lang w:eastAsia="zh-CN"/>
        </w:rPr>
        <w:t>满意度指标：家长和学生满意度，实现指标大于等于</w:t>
      </w:r>
      <w:r>
        <w:rPr>
          <w:rFonts w:ascii="仿宋" w:cs="仿宋" w:eastAsia="仿宋" w:hAnsi="仿宋" w:hint="eastAsia"/>
          <w:kern w:val="2"/>
          <w:sz w:val="32"/>
          <w:szCs w:val="30"/>
          <w:lang w:val="en-US" w:eastAsia="zh-CN"/>
        </w:rPr>
        <w:t>9</w:t>
      </w:r>
      <w:r>
        <w:rPr>
          <w:rFonts w:ascii="仿宋" w:cs="仿宋" w:eastAsia="仿宋" w:hAnsi="仿宋" w:hint="eastAsia"/>
          <w:kern w:val="2"/>
          <w:sz w:val="32"/>
          <w:szCs w:val="30"/>
          <w:lang w:eastAsia="zh-CN"/>
        </w:rPr>
        <w:t>5%</w:t>
      </w:r>
    </w:p>
    <w:p w14:paraId="AEC0C203">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jc w:val="left"/>
        <w:textAlignment w:val="auto"/>
        <w:rPr>
          <w:rFonts w:ascii="黑体" w:cs="黑体" w:eastAsia="黑体" w:hAnsi="黑体" w:hint="eastAsia"/>
          <w:b w:val="false"/>
          <w:bCs/>
          <w:sz w:val="32"/>
          <w:szCs w:val="30"/>
        </w:rPr>
      </w:pPr>
      <w:r>
        <w:rPr>
          <w:rFonts w:ascii="黑体" w:cs="黑体" w:eastAsia="黑体" w:hAnsi="黑体" w:hint="eastAsia"/>
          <w:b w:val="false"/>
          <w:bCs/>
          <w:kern w:val="0"/>
          <w:sz w:val="32"/>
          <w:szCs w:val="32"/>
        </w:rPr>
        <w:t>二、</w:t>
      </w:r>
      <w:r>
        <w:rPr>
          <w:rFonts w:ascii="黑体" w:cs="黑体" w:eastAsia="黑体" w:hAnsi="黑体" w:hint="eastAsia"/>
          <w:b w:val="false"/>
          <w:bCs/>
          <w:sz w:val="32"/>
          <w:szCs w:val="30"/>
          <w:lang w:eastAsia="zh-CN"/>
        </w:rPr>
        <w:t>202</w:t>
      </w:r>
      <w:r>
        <w:rPr>
          <w:rFonts w:ascii="黑体" w:cs="黑体" w:eastAsia="黑体" w:hAnsi="黑体" w:hint="eastAsia"/>
          <w:b w:val="false"/>
          <w:bCs/>
          <w:sz w:val="32"/>
          <w:szCs w:val="30"/>
          <w:lang w:val="en-US" w:eastAsia="zh-CN"/>
        </w:rPr>
        <w:t>5</w:t>
      </w:r>
      <w:r>
        <w:rPr>
          <w:rFonts w:ascii="黑体" w:cs="黑体" w:eastAsia="黑体" w:hAnsi="黑体" w:hint="eastAsia"/>
          <w:b w:val="false"/>
          <w:bCs/>
          <w:sz w:val="32"/>
          <w:szCs w:val="30"/>
        </w:rPr>
        <w:t>年“三公”经费预算情况说明</w:t>
      </w:r>
    </w:p>
    <w:p w14:paraId="03ECF394">
      <w:pPr>
        <w:pStyle w:val="style4097"/>
        <w:keepNext w:val="false"/>
        <w:keepLines w:val="false"/>
        <w:pageBreakBefore w:val="false"/>
        <w:widowControl/>
        <w:kinsoku/>
        <w:wordWrap/>
        <w:overflowPunct/>
        <w:topLinePunct w:val="false"/>
        <w:autoSpaceDE/>
        <w:autoSpaceDN/>
        <w:bidi w:val="false"/>
        <w:adjustRightInd/>
        <w:snapToGrid/>
        <w:spacing w:lineRule="exact" w:line="520"/>
        <w:ind w:right="0" w:rightChars="0" w:firstLine="640" w:firstLineChars="200"/>
        <w:jc w:val="left"/>
        <w:textAlignment w:val="auto"/>
        <w:outlineLvl w:val="9"/>
        <w:rPr>
          <w:rFonts w:ascii="仿宋" w:cs="仿宋" w:eastAsia="仿宋" w:hAnsi="仿宋" w:hint="eastAsia"/>
          <w:kern w:val="2"/>
          <w:sz w:val="32"/>
          <w:szCs w:val="30"/>
          <w:lang w:val="en-US" w:eastAsia="zh-CN"/>
        </w:rPr>
      </w:pPr>
      <w:r>
        <w:rPr>
          <w:rFonts w:ascii="仿宋" w:cs="仿宋" w:eastAsia="仿宋" w:hAnsi="仿宋" w:hint="eastAsia"/>
          <w:kern w:val="2"/>
          <w:sz w:val="32"/>
          <w:szCs w:val="30"/>
          <w:lang w:val="en-US" w:eastAsia="zh-CN"/>
        </w:rPr>
        <w:t>2025年赣州市南康区龙华镇中心小学"三公"经费一般公共预算安排0.20万元，较少年增加0万元，其中：</w:t>
      </w:r>
    </w:p>
    <w:p w14:paraId="0EBE557F">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val="en-US" w:eastAsia="zh-CN"/>
        </w:rPr>
      </w:pPr>
      <w:r>
        <w:rPr>
          <w:rFonts w:ascii="仿宋" w:cs="仿宋" w:eastAsia="仿宋" w:hAnsi="仿宋" w:hint="eastAsia"/>
          <w:kern w:val="2"/>
          <w:sz w:val="32"/>
          <w:szCs w:val="30"/>
          <w:lang w:val="en-US" w:eastAsia="zh-CN"/>
        </w:rPr>
        <w:t>因公出国0万元，比上年增加0万元，主要原因是：2025年我单位暂无计划因公出国（境）。</w:t>
      </w:r>
    </w:p>
    <w:p w14:paraId="546AC0ED">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val="en-US" w:eastAsia="zh-CN"/>
        </w:rPr>
      </w:pPr>
      <w:r>
        <w:rPr>
          <w:rFonts w:ascii="仿宋" w:cs="仿宋" w:eastAsia="仿宋" w:hAnsi="仿宋" w:hint="eastAsia"/>
          <w:kern w:val="2"/>
          <w:sz w:val="32"/>
          <w:szCs w:val="30"/>
          <w:lang w:val="en-US" w:eastAsia="zh-CN"/>
        </w:rPr>
        <w:t>公务接待0.2万元，比上年减少0万元，主要原因是：控制公务接待，减少开支。</w:t>
      </w:r>
    </w:p>
    <w:p w14:paraId="53234923">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eastAsia"/>
          <w:kern w:val="2"/>
          <w:sz w:val="32"/>
          <w:szCs w:val="30"/>
          <w:lang w:val="en-US" w:eastAsia="zh-CN"/>
        </w:rPr>
      </w:pPr>
      <w:r>
        <w:rPr>
          <w:rFonts w:ascii="仿宋" w:cs="仿宋" w:eastAsia="仿宋" w:hAnsi="仿宋" w:hint="eastAsia"/>
          <w:kern w:val="2"/>
          <w:sz w:val="32"/>
          <w:szCs w:val="30"/>
          <w:lang w:val="en-US" w:eastAsia="zh-CN"/>
        </w:rPr>
        <w:t>公务用车运行0万元，比上年减少0万元，主要原因是：2025年我单位暂无公务车辆。</w:t>
      </w:r>
    </w:p>
    <w:p w14:paraId="DD9108A1">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640" w:firstLineChars="200"/>
        <w:jc w:val="left"/>
        <w:textAlignment w:val="auto"/>
        <w:outlineLvl w:val="9"/>
        <w:rPr>
          <w:rFonts w:ascii="仿宋" w:cs="仿宋" w:eastAsia="仿宋" w:hAnsi="仿宋" w:hint="default"/>
          <w:kern w:val="2"/>
          <w:sz w:val="32"/>
          <w:szCs w:val="30"/>
          <w:lang w:val="en-US" w:eastAsia="zh-CN"/>
        </w:rPr>
      </w:pPr>
      <w:r>
        <w:rPr>
          <w:rFonts w:ascii="仿宋" w:cs="仿宋" w:eastAsia="仿宋" w:hAnsi="仿宋" w:hint="eastAsia"/>
          <w:kern w:val="2"/>
          <w:sz w:val="32"/>
          <w:szCs w:val="30"/>
          <w:lang w:val="en-US" w:eastAsia="zh-CN"/>
        </w:rPr>
        <w:t>公务用车购置0万元，比上年减少0万元，主要原因是：2025年我单位暂无计划购置公务车辆。</w:t>
      </w:r>
    </w:p>
    <w:p w14:paraId="BBFB9C7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40"/>
        <w:jc w:val="center"/>
        <w:textAlignment w:val="auto"/>
        <w:rPr>
          <w:rFonts w:ascii="黑体" w:cs="黑体" w:eastAsia="黑体" w:hAnsi="黑体" w:hint="eastAsia"/>
          <w:b w:val="false"/>
          <w:bCs/>
          <w:sz w:val="32"/>
          <w:szCs w:val="30"/>
        </w:rPr>
      </w:pPr>
      <w:r>
        <w:rPr>
          <w:rFonts w:ascii="黑体" w:cs="黑体" w:eastAsia="黑体" w:hAnsi="黑体" w:hint="eastAsia"/>
          <w:b w:val="false"/>
          <w:bCs/>
          <w:sz w:val="32"/>
          <w:szCs w:val="30"/>
        </w:rPr>
        <w:t>第四部分   名词解释</w:t>
      </w:r>
    </w:p>
    <w:p w14:paraId="7E6A6682">
      <w:pPr>
        <w:pStyle w:val="style0"/>
        <w:keepNext w:val="false"/>
        <w:keepLines w:val="false"/>
        <w:pageBreakBefore w:val="false"/>
        <w:widowControl w:val="false"/>
        <w:shd w:val="clear" w:color="auto" w:fill="ffffff"/>
        <w:kinsoku/>
        <w:wordWrap/>
        <w:overflowPunct/>
        <w:topLinePunct w:val="false"/>
        <w:autoSpaceDE/>
        <w:autoSpaceDN/>
        <w:bidi w:val="false"/>
        <w:spacing w:lineRule="exact" w:line="540"/>
        <w:ind w:firstLine="800" w:firstLineChars="250"/>
        <w:jc w:val="left"/>
        <w:textAlignment w:val="auto"/>
        <w:rPr>
          <w:rFonts w:ascii="黑体" w:cs="黑体" w:eastAsia="黑体" w:hAnsi="黑体" w:hint="eastAsia"/>
          <w:b w:val="false"/>
          <w:bCs w:val="false"/>
          <w:sz w:val="32"/>
          <w:szCs w:val="32"/>
        </w:rPr>
      </w:pPr>
    </w:p>
    <w:p w14:paraId="DAA72293">
      <w:pPr>
        <w:pStyle w:val="style0"/>
        <w:keepNext w:val="false"/>
        <w:keepLines w:val="false"/>
        <w:pageBreakBefore w:val="false"/>
        <w:widowControl w:val="false"/>
        <w:shd w:val="clear" w:color="auto" w:fill="ffffff"/>
        <w:kinsoku/>
        <w:wordWrap/>
        <w:overflowPunct/>
        <w:topLinePunct w:val="false"/>
        <w:autoSpaceDE/>
        <w:autoSpaceDN/>
        <w:bidi w:val="false"/>
        <w:spacing w:lineRule="exact" w:line="540"/>
        <w:ind w:firstLine="640" w:firstLineChars="200"/>
        <w:jc w:val="left"/>
        <w:textAlignment w:val="auto"/>
        <w:rPr>
          <w:rFonts w:ascii="黑体" w:cs="黑体" w:eastAsia="黑体" w:hAnsi="黑体" w:hint="eastAsia"/>
          <w:b w:val="false"/>
          <w:bCs w:val="false"/>
          <w:sz w:val="32"/>
          <w:szCs w:val="32"/>
        </w:rPr>
      </w:pPr>
      <w:r>
        <w:rPr>
          <w:rFonts w:ascii="黑体" w:cs="黑体" w:eastAsia="黑体" w:hAnsi="黑体" w:hint="eastAsia"/>
          <w:b w:val="false"/>
          <w:bCs w:val="false"/>
          <w:sz w:val="32"/>
          <w:szCs w:val="32"/>
        </w:rPr>
        <w:t>一、收入科目</w:t>
      </w:r>
    </w:p>
    <w:p w14:paraId="1342ADAC">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Style w:val="style4098"/>
          <w:rFonts w:ascii="楷体" w:cs="楷体" w:eastAsia="楷体" w:hAnsi="楷体" w:hint="eastAsia"/>
          <w:b/>
          <w:kern w:val="2"/>
          <w:sz w:val="32"/>
          <w:szCs w:val="32"/>
          <w:lang w:val="en-US" w:bidi="ar-SA" w:eastAsia="zh-CN"/>
        </w:rPr>
        <w:t>（一）财政拨款：</w:t>
      </w:r>
      <w:r>
        <w:rPr>
          <w:rFonts w:ascii="仿宋" w:cs="仿宋" w:eastAsia="仿宋" w:hAnsi="仿宋" w:hint="eastAsia"/>
          <w:kern w:val="2"/>
          <w:sz w:val="32"/>
          <w:szCs w:val="30"/>
          <w:lang w:eastAsia="zh-CN"/>
        </w:rPr>
        <w:t>指区级财政当年拨付的资金。</w:t>
      </w:r>
    </w:p>
    <w:p w14:paraId="BA6B8F41">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Style w:val="style4098"/>
          <w:rFonts w:ascii="楷体" w:cs="楷体" w:eastAsia="楷体" w:hAnsi="楷体" w:hint="eastAsia"/>
          <w:b/>
          <w:kern w:val="2"/>
          <w:sz w:val="32"/>
          <w:szCs w:val="32"/>
          <w:lang w:val="en-US" w:bidi="ar-SA" w:eastAsia="zh-CN"/>
        </w:rPr>
        <w:t>（二）教育收费资金收入：</w:t>
      </w:r>
      <w:r>
        <w:rPr>
          <w:rFonts w:ascii="仿宋" w:cs="仿宋" w:eastAsia="仿宋" w:hAnsi="仿宋" w:hint="eastAsia"/>
          <w:kern w:val="2"/>
          <w:sz w:val="32"/>
          <w:szCs w:val="30"/>
          <w:lang w:eastAsia="zh-CN"/>
        </w:rPr>
        <w:t>反映实行专项管理的高中以上学费、住宿费，高校委托培养费、短训班培训费等教育收费取得的收入。</w:t>
      </w:r>
    </w:p>
    <w:p w14:paraId="E832BE88">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Fonts w:ascii="楷体" w:cs="楷体" w:eastAsia="楷体" w:hAnsi="楷体" w:hint="eastAsia"/>
          <w:b/>
          <w:bCs/>
          <w:kern w:val="2"/>
          <w:sz w:val="32"/>
          <w:szCs w:val="30"/>
          <w:lang w:eastAsia="zh-CN"/>
        </w:rPr>
        <w:t>（三）事业收入：</w:t>
      </w:r>
      <w:r>
        <w:rPr>
          <w:rFonts w:ascii="仿宋" w:cs="仿宋" w:eastAsia="仿宋" w:hAnsi="仿宋" w:hint="eastAsia"/>
          <w:kern w:val="2"/>
          <w:sz w:val="32"/>
          <w:szCs w:val="30"/>
          <w:lang w:eastAsia="zh-CN"/>
        </w:rPr>
        <w:t>指事业单位开展专业业务活动及辅助活动取得的收入。</w:t>
      </w:r>
    </w:p>
    <w:p w14:paraId="BAE84E34">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Fonts w:ascii="楷体" w:cs="楷体" w:eastAsia="楷体" w:hAnsi="楷体" w:hint="eastAsia"/>
          <w:b/>
          <w:bCs/>
          <w:kern w:val="2"/>
          <w:sz w:val="32"/>
          <w:szCs w:val="30"/>
          <w:lang w:eastAsia="zh-CN"/>
        </w:rPr>
        <w:t>（四）事业单位经营收入：</w:t>
      </w:r>
      <w:r>
        <w:rPr>
          <w:rFonts w:ascii="仿宋" w:cs="仿宋" w:eastAsia="仿宋" w:hAnsi="仿宋" w:hint="eastAsia"/>
          <w:kern w:val="2"/>
          <w:sz w:val="32"/>
          <w:szCs w:val="30"/>
          <w:lang w:eastAsia="zh-CN"/>
        </w:rPr>
        <w:t>指事业单位在专业业务活动及辅助活动之外开展非独立核算经营活动取得的收入。</w:t>
      </w:r>
    </w:p>
    <w:p w14:paraId="5A477832">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Style w:val="style4098"/>
          <w:rFonts w:ascii="楷体" w:cs="楷体" w:eastAsia="楷体" w:hAnsi="楷体" w:hint="eastAsia"/>
          <w:b/>
          <w:kern w:val="2"/>
          <w:sz w:val="32"/>
          <w:szCs w:val="32"/>
          <w:lang w:val="en-US" w:bidi="ar-SA" w:eastAsia="zh-CN"/>
        </w:rPr>
        <w:t>（五）附属单位上缴收入：</w:t>
      </w:r>
      <w:r>
        <w:rPr>
          <w:rFonts w:ascii="仿宋" w:cs="仿宋" w:eastAsia="仿宋" w:hAnsi="仿宋" w:hint="eastAsia"/>
          <w:kern w:val="2"/>
          <w:sz w:val="32"/>
          <w:szCs w:val="30"/>
          <w:lang w:eastAsia="zh-CN"/>
        </w:rPr>
        <w:t>反映事业单位附属的独立核算单位按规定标准或比例缴纳的各项收入。包括附属的事业单位上缴的收入和附属的企业上缴的利润等。</w:t>
      </w:r>
    </w:p>
    <w:p w14:paraId="E52C9A2C">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Fonts w:ascii="楷体" w:cs="楷体" w:eastAsia="楷体" w:hAnsi="楷体" w:hint="eastAsia"/>
          <w:b/>
          <w:bCs/>
          <w:kern w:val="2"/>
          <w:sz w:val="32"/>
          <w:szCs w:val="30"/>
          <w:lang w:eastAsia="zh-CN"/>
        </w:rPr>
        <w:t>（六）上级补助收入：</w:t>
      </w:r>
      <w:r>
        <w:rPr>
          <w:rFonts w:ascii="仿宋" w:cs="仿宋" w:eastAsia="仿宋" w:hAnsi="仿宋" w:hint="eastAsia"/>
          <w:kern w:val="2"/>
          <w:sz w:val="32"/>
          <w:szCs w:val="30"/>
          <w:lang w:eastAsia="zh-CN"/>
        </w:rPr>
        <w:t>反映事业单位从主管部门和上级单位取得的非财政补助收入。</w:t>
      </w:r>
    </w:p>
    <w:p w14:paraId="64E0FED6">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Fonts w:ascii="楷体" w:cs="楷体" w:eastAsia="楷体" w:hAnsi="楷体" w:hint="eastAsia"/>
          <w:b/>
          <w:bCs/>
          <w:kern w:val="2"/>
          <w:sz w:val="32"/>
          <w:szCs w:val="30"/>
          <w:lang w:eastAsia="zh-CN"/>
        </w:rPr>
        <w:t>（七）其他收入：</w:t>
      </w:r>
      <w:r>
        <w:rPr>
          <w:rFonts w:ascii="仿宋" w:cs="仿宋" w:eastAsia="仿宋" w:hAnsi="仿宋" w:hint="eastAsia"/>
          <w:kern w:val="2"/>
          <w:sz w:val="32"/>
          <w:szCs w:val="30"/>
          <w:lang w:eastAsia="zh-CN"/>
        </w:rPr>
        <w:t>指除财政拨款、事业收入、事业单位经营收入等以外的各项收入。</w:t>
      </w:r>
    </w:p>
    <w:p w14:paraId="2B428754">
      <w:pPr>
        <w:pStyle w:val="style4097"/>
        <w:keepNext w:val="false"/>
        <w:keepLines w:val="false"/>
        <w:pageBreakBefore w:val="false"/>
        <w:widowControl w:val="false"/>
        <w:kinsoku/>
        <w:wordWrap/>
        <w:overflowPunct/>
        <w:topLinePunct w:val="false"/>
        <w:autoSpaceDE/>
        <w:autoSpaceDN/>
        <w:bidi w:val="false"/>
        <w:adjustRightInd/>
        <w:snapToGrid/>
        <w:spacing w:lineRule="exact" w:line="540"/>
        <w:ind w:right="0" w:rightChars="0" w:firstLine="643" w:firstLineChars="200"/>
        <w:jc w:val="left"/>
        <w:textAlignment w:val="auto"/>
        <w:outlineLvl w:val="9"/>
        <w:rPr>
          <w:rFonts w:ascii="仿宋" w:cs="仿宋" w:eastAsia="仿宋" w:hAnsi="仿宋" w:hint="eastAsia"/>
          <w:kern w:val="2"/>
          <w:sz w:val="32"/>
          <w:szCs w:val="30"/>
          <w:lang w:eastAsia="zh-CN"/>
        </w:rPr>
      </w:pPr>
      <w:r>
        <w:rPr>
          <w:rFonts w:ascii="楷体" w:cs="楷体" w:eastAsia="楷体" w:hAnsi="楷体" w:hint="eastAsia"/>
          <w:b/>
          <w:bCs/>
          <w:kern w:val="2"/>
          <w:sz w:val="32"/>
          <w:szCs w:val="30"/>
          <w:lang w:eastAsia="zh-CN"/>
        </w:rPr>
        <w:t>（八）上年结转和结余</w:t>
      </w:r>
      <w:r>
        <w:rPr>
          <w:rFonts w:ascii="仿宋" w:cs="仿宋" w:eastAsia="仿宋" w:hAnsi="仿宋" w:hint="eastAsia"/>
          <w:kern w:val="2"/>
          <w:sz w:val="32"/>
          <w:szCs w:val="30"/>
          <w:lang w:eastAsia="zh-CN"/>
        </w:rPr>
        <w:t>：填列202</w:t>
      </w:r>
      <w:r>
        <w:rPr>
          <w:rFonts w:ascii="仿宋" w:cs="仿宋" w:eastAsia="仿宋" w:hAnsi="仿宋" w:hint="eastAsia"/>
          <w:kern w:val="2"/>
          <w:sz w:val="32"/>
          <w:szCs w:val="30"/>
          <w:lang w:val="en-US" w:eastAsia="zh-CN"/>
        </w:rPr>
        <w:t>4</w:t>
      </w:r>
      <w:r>
        <w:rPr>
          <w:rFonts w:ascii="仿宋" w:cs="仿宋" w:eastAsia="仿宋" w:hAnsi="仿宋" w:hint="eastAsia"/>
          <w:kern w:val="2"/>
          <w:sz w:val="32"/>
          <w:szCs w:val="30"/>
          <w:lang w:eastAsia="zh-CN"/>
        </w:rPr>
        <w:t>年全部结转和结余的资金数，包括当年结转结余资金和历年滚存结转结余资金。</w:t>
      </w:r>
    </w:p>
    <w:p w14:paraId="61F296F8">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textAlignment w:val="auto"/>
        <w:rPr>
          <w:rFonts w:ascii="黑体" w:cs="黑体" w:eastAsia="黑体" w:hAnsi="黑体" w:hint="eastAsia"/>
          <w:b w:val="false"/>
          <w:bCs w:val="false"/>
          <w:sz w:val="32"/>
          <w:szCs w:val="32"/>
        </w:rPr>
      </w:pPr>
      <w:r>
        <w:rPr>
          <w:rFonts w:ascii="黑体" w:cs="黑体" w:eastAsia="黑体" w:hAnsi="黑体" w:hint="eastAsia"/>
          <w:b w:val="false"/>
          <w:bCs w:val="false"/>
          <w:sz w:val="32"/>
          <w:szCs w:val="32"/>
        </w:rPr>
        <w:t>二、支出科目</w:t>
      </w:r>
    </w:p>
    <w:p w14:paraId="A03D3568">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（一）行政运行：</w:t>
      </w:r>
      <w:r>
        <w:rPr>
          <w:rFonts w:ascii="仿宋" w:cs="仿宋" w:eastAsia="仿宋" w:hAnsi="仿宋" w:hint="eastAsia"/>
          <w:color w:val="000000"/>
          <w:sz w:val="32"/>
          <w:szCs w:val="30"/>
        </w:rPr>
        <w:t>反映行政单位（包括实行公务员管理的事业单位）的基本支出。</w:t>
      </w:r>
    </w:p>
    <w:p w14:paraId="454166C9">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（二）一般行政管理事务：</w:t>
      </w:r>
      <w:r>
        <w:rPr>
          <w:rFonts w:ascii="仿宋" w:cs="仿宋" w:eastAsia="仿宋" w:hAnsi="仿宋" w:hint="eastAsia"/>
          <w:color w:val="000000"/>
          <w:sz w:val="32"/>
          <w:szCs w:val="30"/>
        </w:rPr>
        <w:t>反映行政单位（包括实行公务员管理的事业单位）未单独设置项级科目的其他项目支出。</w:t>
      </w:r>
    </w:p>
    <w:p w14:paraId="A1F643C3">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（三）事业运行：</w:t>
      </w:r>
      <w:r>
        <w:rPr>
          <w:rFonts w:ascii="仿宋" w:cs="仿宋" w:eastAsia="仿宋" w:hAnsi="仿宋" w:hint="eastAsia"/>
          <w:color w:val="000000"/>
          <w:sz w:val="32"/>
          <w:szCs w:val="30"/>
        </w:rPr>
        <w:t>反映事业单位的基本支出。</w:t>
      </w:r>
    </w:p>
    <w:p w14:paraId="0C826429">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（四）机关事业单位基本养老保险缴费支出：</w:t>
      </w:r>
      <w:r>
        <w:rPr>
          <w:rFonts w:ascii="仿宋" w:cs="仿宋" w:eastAsia="仿宋" w:hAnsi="仿宋" w:hint="eastAsia"/>
          <w:color w:val="000000"/>
          <w:sz w:val="32"/>
          <w:szCs w:val="30"/>
        </w:rPr>
        <w:t>反映机关事业单位实施养老保险制度由单位缴纳的基本养老保险费的支出。</w:t>
      </w:r>
    </w:p>
    <w:p w14:paraId="7214D562">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（五）行政单位医疗：</w:t>
      </w:r>
      <w:r>
        <w:rPr>
          <w:rFonts w:ascii="仿宋" w:cs="仿宋" w:eastAsia="仿宋" w:hAnsi="仿宋" w:hint="eastAsia"/>
          <w:color w:val="000000"/>
          <w:sz w:val="32"/>
          <w:szCs w:val="30"/>
        </w:rPr>
        <w:t>反映财政部门安排的行政单位（包括实行公务员管理的事业单位）基本医疗保险缴费经费。</w:t>
      </w:r>
    </w:p>
    <w:p w14:paraId="58B39F51">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（六）事业单位医疗：</w:t>
      </w:r>
      <w:r>
        <w:rPr>
          <w:rFonts w:ascii="仿宋" w:cs="仿宋" w:eastAsia="仿宋" w:hAnsi="仿宋" w:hint="eastAsia"/>
          <w:color w:val="000000"/>
          <w:sz w:val="32"/>
          <w:szCs w:val="30"/>
        </w:rPr>
        <w:t>反映财政部门安排的事业单位基本医疗保险缴费经费。</w:t>
      </w:r>
    </w:p>
    <w:p w14:paraId="5B5139DA">
      <w:pPr>
        <w:pStyle w:val="style0"/>
        <w:keepNext w:val="false"/>
        <w:keepLines w:val="false"/>
        <w:pageBreakBefore w:val="false"/>
        <w:widowControl w:val="false"/>
        <w:kinsoku/>
        <w:wordWrap/>
        <w:overflowPunct/>
        <w:topLinePunct w:val="false"/>
        <w:autoSpaceDE/>
        <w:autoSpaceDN/>
        <w:bidi w:val="false"/>
        <w:spacing w:lineRule="exact" w:line="540"/>
        <w:ind w:firstLine="640" w:firstLineChars="200"/>
        <w:textAlignment w:val="auto"/>
        <w:rPr>
          <w:rFonts w:ascii="黑体" w:cs="黑体" w:eastAsia="黑体" w:hAnsi="黑体" w:hint="eastAsia"/>
          <w:b w:val="false"/>
          <w:bCs w:val="false"/>
          <w:sz w:val="32"/>
          <w:szCs w:val="32"/>
        </w:rPr>
      </w:pPr>
      <w:r>
        <w:rPr>
          <w:rFonts w:ascii="黑体" w:cs="黑体" w:eastAsia="黑体" w:hAnsi="黑体" w:hint="eastAsia"/>
          <w:b w:val="false"/>
          <w:bCs w:val="false"/>
          <w:sz w:val="32"/>
          <w:szCs w:val="32"/>
        </w:rPr>
        <w:t>三、部门涉及的专业名词</w:t>
      </w:r>
    </w:p>
    <w:p w14:paraId="32D49A06">
      <w:pPr>
        <w:pStyle w:val="style0"/>
        <w:widowControl/>
        <w:spacing w:lineRule="exact" w:line="560"/>
        <w:ind w:firstLine="643" w:firstLineChars="200"/>
        <w:jc w:val="left"/>
        <w:rPr>
          <w:rFonts w:ascii="仿宋" w:cs="仿宋" w:eastAsia="仿宋" w:hAnsi="仿宋"/>
          <w:color w:val="000000"/>
          <w:sz w:val="32"/>
          <w:szCs w:val="30"/>
        </w:rPr>
      </w:pPr>
      <w:r>
        <w:rPr>
          <w:rFonts w:ascii="楷体" w:cs="仿宋" w:eastAsia="楷体" w:hAnsi="楷体" w:hint="eastAsia"/>
          <w:b/>
          <w:color w:val="000000"/>
          <w:sz w:val="32"/>
          <w:szCs w:val="30"/>
        </w:rPr>
        <w:t>（一）“三公”经费：</w:t>
      </w:r>
      <w:r>
        <w:rPr>
          <w:rFonts w:ascii="仿宋" w:cs="仿宋" w:eastAsia="仿宋" w:hAnsi="仿宋" w:hint="eastAsia"/>
          <w:color w:val="000000"/>
          <w:sz w:val="32"/>
          <w:szCs w:val="30"/>
        </w:rPr>
        <w:t>纳入预算管理的“三公”经费，是指用财政拨款安排的因公出国（境)费、公务用车购置及运行费和公务接待费。</w:t>
      </w:r>
    </w:p>
    <w:p w14:paraId="67364974">
      <w:pPr>
        <w:pStyle w:val="style0"/>
        <w:widowControl/>
        <w:spacing w:lineRule="exact" w:line="560"/>
        <w:ind w:firstLine="643" w:firstLineChars="200"/>
        <w:jc w:val="left"/>
        <w:rPr>
          <w:rFonts w:ascii="仿宋" w:cs="仿宋" w:eastAsia="仿宋" w:hAnsi="仿宋" w:hint="eastAsia"/>
          <w:kern w:val="2"/>
          <w:sz w:val="32"/>
          <w:szCs w:val="30"/>
          <w:lang w:eastAsia="zh-CN"/>
        </w:rPr>
      </w:pPr>
      <w:r>
        <w:rPr>
          <w:rFonts w:ascii="楷体" w:cs="仿宋" w:eastAsia="楷体" w:hAnsi="楷体" w:hint="eastAsia"/>
          <w:b/>
          <w:color w:val="000000"/>
          <w:sz w:val="32"/>
          <w:szCs w:val="30"/>
        </w:rPr>
        <w:t>（二）机关运行经费：</w:t>
      </w:r>
      <w:r>
        <w:rPr>
          <w:rFonts w:ascii="仿宋" w:cs="仿宋" w:eastAsia="仿宋" w:hAnsi="仿宋" w:hint="eastAsia"/>
          <w:color w:val="000000"/>
          <w:sz w:val="32"/>
          <w:szCs w:val="30"/>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Start w:id="1" w:name="_GoBack"/>
    <w:bookmarkEnd w:id="1"/>
    <w:p w14:paraId="F47B9AE0">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p>
    <w:p w14:paraId="9EF2C1DC">
      <w:pPr>
        <w:pStyle w:val="style4097"/>
        <w:keepNext w:val="false"/>
        <w:keepLines w:val="false"/>
        <w:pageBreakBefore w:val="false"/>
        <w:widowControl/>
        <w:kinsoku/>
        <w:wordWrap/>
        <w:overflowPunct/>
        <w:topLinePunct w:val="false"/>
        <w:autoSpaceDE/>
        <w:autoSpaceDN/>
        <w:bidi w:val="false"/>
        <w:adjustRightInd/>
        <w:snapToGrid/>
        <w:spacing w:lineRule="exact" w:line="520"/>
        <w:ind w:left="0" w:leftChars="0" w:right="0" w:rightChars="0" w:firstLine="1120" w:firstLineChars="350"/>
        <w:jc w:val="left"/>
        <w:textAlignment w:val="auto"/>
        <w:outlineLvl w:val="9"/>
        <w:rPr>
          <w:rFonts w:ascii="仿宋" w:cs="仿宋" w:eastAsia="仿宋" w:hAnsi="仿宋" w:hint="eastAsia"/>
          <w:kern w:val="2"/>
          <w:sz w:val="32"/>
          <w:szCs w:val="30"/>
          <w:lang w:eastAsia="zh-CN"/>
        </w:rPr>
      </w:pPr>
    </w:p>
    <w:sectPr>
      <w:headerReference w:type="default" r:id="rId2"/>
      <w:footerReference w:type="even" r:id="rId3"/>
      <w:footerReference w:type="default" r:id="rId4"/>
      <w:pgSz w:w="11906" w:h="16838" w:orient="portrait"/>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楷体">
    <w:altName w:val="楷体"/>
    <w:panose1 w:val="02010609060000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000010101"/>
    <w:charset w:val="86"/>
    <w:family w:val="modern"/>
    <w:pitch w:val="default"/>
    <w:sig w:usb0="00000000" w:usb1="00000000" w:usb2="00000000" w:usb3="00000000" w:csb0="00040000" w:csb1="00000000"/>
  </w:font>
  <w:font w:name="方正舒体">
    <w:altName w:val="方正舒体"/>
    <w:panose1 w:val="02010601030000010101"/>
    <w:charset w:val="86"/>
    <w:family w:val="auto"/>
    <w:pitch w:val="default"/>
    <w:sig w:usb0="00000003" w:usb1="080E0000" w:usb2="0000000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F501976">
    <w:pPr>
      <w:pStyle w:val="style32"/>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581BDC0A">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F445FB6">
    <w:pPr>
      <w:pStyle w:val="style32"/>
      <w:wordWrap w:val="false"/>
      <w:jc w:val="right"/>
      <w:rPr>
        <w:rFonts w:ascii="宋体" w:hAnsi="宋体"/>
        <w:sz w:val="28"/>
        <w:szCs w:val="28"/>
      </w:rPr>
    </w:pPr>
    <w:r>
      <w:rPr>
        <w:sz w:val="28"/>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9027BA6A">
                          <w:pPr>
                            <w:pStyle w:val="style32"/>
                            <w:wordWrap w:val="false"/>
                            <w:jc w:val="right"/>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9027BA6A">
                    <w:pPr>
                      <w:pStyle w:val="style32"/>
                      <w:wordWrap w:val="false"/>
                      <w:jc w:val="right"/>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p>
                </w:txbxContent>
              </v:textbox>
            </v:rect>
          </w:pict>
        </mc:Fallback>
      </mc:AlternateContent>
    </w:r>
  </w:p>
  <w:p w14:paraId="5E032ACF">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6482558">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customStyle="1" w:styleId="style4097">
    <w:name w:val="p0"/>
    <w:basedOn w:val="style0"/>
    <w:next w:val="style4097"/>
    <w:qFormat/>
    <w:uiPriority w:val="0"/>
    <w:pPr>
      <w:widowControl/>
    </w:pPr>
    <w:rPr>
      <w:rFonts w:ascii="Times New Roman" w:cs="Times New Roman" w:eastAsia="宋体" w:hAnsi="Times New Roman"/>
      <w:kern w:val="0"/>
      <w:szCs w:val="21"/>
    </w:rPr>
  </w:style>
  <w:style w:type="character" w:customStyle="1" w:styleId="style4098">
    <w:name w:val="row_tree_level_4"/>
    <w:basedOn w:val="style65"/>
    <w:next w:val="style4098"/>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5242</Words>
  <Pages>8</Pages>
  <Characters>5556</Characters>
  <Application>WPS Office</Application>
  <DocSecurity>0</DocSecurity>
  <Paragraphs>149</Paragraphs>
  <ScaleCrop>false</ScaleCrop>
  <LinksUpToDate>false</LinksUpToDate>
  <CharactersWithSpaces>5609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2022-09-15T02:24:00Z</dcterms:created>
  <dc:creator>Administrator</dc:creator>
  <lastModifiedBy>23054RA19C</lastModifiedBy>
  <lastPrinted>2024-02-19T02:53:00Z</lastPrinted>
  <dcterms:modified xsi:type="dcterms:W3CDTF">2025-02-06T01:58:38Z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f19f354f2c704287b8ebb65d54771e1f_23</vt:lpwstr>
  </property>
</Properties>
</file>