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4F89C">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方正小标宋简体" w:hAnsi="仿宋_GB2312" w:eastAsia="方正小标宋简体"/>
          <w:sz w:val="44"/>
          <w:szCs w:val="44"/>
          <w:lang w:eastAsia="zh-CN"/>
        </w:rPr>
      </w:pPr>
      <w:r>
        <w:rPr>
          <w:rFonts w:hint="eastAsia" w:ascii="方正小标宋简体" w:hAnsi="仿宋_GB2312" w:eastAsia="方正小标宋简体"/>
          <w:sz w:val="44"/>
          <w:szCs w:val="44"/>
        </w:rPr>
        <w:t>赣州市南康区</w:t>
      </w:r>
      <w:r>
        <w:rPr>
          <w:rFonts w:hint="eastAsia" w:ascii="方正小标宋简体" w:hAnsi="仿宋_GB2312" w:eastAsia="方正小标宋简体"/>
          <w:sz w:val="44"/>
          <w:szCs w:val="44"/>
          <w:lang w:eastAsia="zh-CN"/>
        </w:rPr>
        <w:t>第十一中学</w:t>
      </w:r>
      <w:r>
        <w:rPr>
          <w:rFonts w:hint="eastAsia" w:ascii="方正小标宋简体" w:hAnsi="仿宋_GB2312" w:eastAsia="方正小标宋简体"/>
          <w:sz w:val="44"/>
          <w:szCs w:val="44"/>
        </w:rPr>
        <w:t>202</w:t>
      </w:r>
      <w:r>
        <w:rPr>
          <w:rFonts w:hint="eastAsia" w:ascii="方正小标宋简体" w:hAnsi="仿宋_GB2312" w:eastAsia="方正小标宋简体"/>
          <w:sz w:val="44"/>
          <w:szCs w:val="44"/>
          <w:lang w:val="en-US" w:eastAsia="zh-CN"/>
        </w:rPr>
        <w:t>5</w:t>
      </w:r>
      <w:r>
        <w:rPr>
          <w:rFonts w:hint="eastAsia" w:ascii="方正小标宋简体" w:hAnsi="仿宋_GB2312" w:eastAsia="方正小标宋简体"/>
          <w:sz w:val="44"/>
          <w:szCs w:val="44"/>
        </w:rPr>
        <w:t>年</w:t>
      </w:r>
      <w:r>
        <w:rPr>
          <w:rFonts w:hint="eastAsia" w:ascii="方正小标宋简体" w:hAnsi="仿宋_GB2312" w:eastAsia="方正小标宋简体"/>
          <w:sz w:val="44"/>
          <w:szCs w:val="44"/>
          <w:lang w:eastAsia="zh-CN"/>
        </w:rPr>
        <w:t>单位预算</w:t>
      </w:r>
    </w:p>
    <w:p w14:paraId="193C2357">
      <w:pPr>
        <w:pStyle w:val="6"/>
        <w:keepNext w:val="0"/>
        <w:keepLines w:val="0"/>
        <w:pageBreakBefore w:val="0"/>
        <w:kinsoku/>
        <w:wordWrap/>
        <w:overflowPunct/>
        <w:topLinePunct w:val="0"/>
        <w:autoSpaceDE/>
        <w:autoSpaceDN/>
        <w:bidi w:val="0"/>
        <w:spacing w:line="520" w:lineRule="exact"/>
        <w:jc w:val="center"/>
        <w:textAlignment w:val="auto"/>
        <w:rPr>
          <w:rFonts w:hint="eastAsia" w:ascii="黑体" w:hAnsi="黑体" w:eastAsia="黑体"/>
          <w:color w:val="FF0000"/>
          <w:sz w:val="32"/>
          <w:szCs w:val="32"/>
          <w:lang w:eastAsia="zh-CN"/>
        </w:rPr>
      </w:pPr>
      <w:r>
        <w:rPr>
          <w:rFonts w:hint="eastAsia" w:ascii="黑体" w:hAnsi="黑体" w:eastAsia="黑体"/>
          <w:color w:val="000000"/>
          <w:sz w:val="32"/>
          <w:szCs w:val="32"/>
        </w:rPr>
        <w:t>目    录</w:t>
      </w:r>
    </w:p>
    <w:p w14:paraId="6B8016D1">
      <w:pPr>
        <w:pStyle w:val="6"/>
        <w:keepNext w:val="0"/>
        <w:keepLines w:val="0"/>
        <w:pageBreakBefore w:val="0"/>
        <w:widowControl/>
        <w:tabs>
          <w:tab w:val="right" w:pos="8306"/>
        </w:tabs>
        <w:kinsoku/>
        <w:wordWrap/>
        <w:overflowPunct/>
        <w:topLinePunct w:val="0"/>
        <w:autoSpaceDE/>
        <w:autoSpaceDN/>
        <w:bidi w:val="0"/>
        <w:adjustRightInd/>
        <w:snapToGrid/>
        <w:spacing w:line="520" w:lineRule="exact"/>
        <w:ind w:left="0" w:leftChars="0" w:right="0" w:rightChars="0" w:firstLine="640"/>
        <w:jc w:val="left"/>
        <w:textAlignment w:val="auto"/>
        <w:outlineLvl w:val="9"/>
        <w:rPr>
          <w:rFonts w:ascii="仿宋_GB2312" w:eastAsia="仿宋_GB2312"/>
          <w:b/>
          <w:bCs/>
          <w:color w:val="000000"/>
          <w:sz w:val="32"/>
          <w:szCs w:val="32"/>
        </w:rPr>
      </w:pPr>
      <w:r>
        <w:rPr>
          <w:rFonts w:hint="eastAsia" w:ascii="楷体" w:hAnsi="楷体" w:eastAsia="楷体" w:cs="楷体"/>
          <w:b/>
          <w:bCs/>
          <w:color w:val="000000"/>
          <w:sz w:val="32"/>
          <w:szCs w:val="32"/>
        </w:rPr>
        <w:t xml:space="preserve">第一部分  </w:t>
      </w:r>
      <w:r>
        <w:rPr>
          <w:rFonts w:hint="eastAsia" w:ascii="楷体" w:hAnsi="楷体" w:eastAsia="楷体" w:cs="楷体"/>
          <w:b/>
          <w:bCs/>
          <w:color w:val="000000"/>
          <w:sz w:val="32"/>
          <w:szCs w:val="32"/>
          <w:lang w:eastAsia="zh-CN"/>
        </w:rPr>
        <w:t>赣州市南康区第十一中学</w:t>
      </w:r>
      <w:r>
        <w:rPr>
          <w:rFonts w:hint="eastAsia" w:ascii="楷体" w:hAnsi="楷体" w:eastAsia="楷体" w:cs="楷体"/>
          <w:b/>
          <w:bCs/>
          <w:color w:val="000000"/>
          <w:sz w:val="32"/>
          <w:szCs w:val="32"/>
        </w:rPr>
        <w:t>概况</w:t>
      </w:r>
    </w:p>
    <w:p w14:paraId="6270ADD8">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一、部门主要职责</w:t>
      </w:r>
    </w:p>
    <w:p w14:paraId="04251707">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二、机构设置及人员情况</w:t>
      </w:r>
    </w:p>
    <w:p w14:paraId="1821F87D">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第二部分  赣州市南康区第十一中学202</w:t>
      </w:r>
      <w:r>
        <w:rPr>
          <w:rStyle w:val="7"/>
          <w:rFonts w:hint="eastAsia" w:ascii="楷体" w:hAnsi="楷体" w:eastAsia="楷体" w:cs="楷体"/>
          <w:b/>
          <w:sz w:val="32"/>
          <w:szCs w:val="32"/>
          <w:lang w:val="en-US" w:eastAsia="zh-CN"/>
        </w:rPr>
        <w:t>5</w:t>
      </w:r>
      <w:r>
        <w:rPr>
          <w:rStyle w:val="7"/>
          <w:rFonts w:hint="eastAsia" w:ascii="楷体" w:hAnsi="楷体" w:eastAsia="楷体" w:cs="楷体"/>
          <w:b/>
          <w:sz w:val="32"/>
          <w:szCs w:val="32"/>
          <w:lang w:eastAsia="zh-CN"/>
        </w:rPr>
        <w:t>年部门预算表</w:t>
      </w:r>
    </w:p>
    <w:p w14:paraId="103A1BF1">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一、《收支预算总表》</w:t>
      </w:r>
    </w:p>
    <w:p w14:paraId="1778EBE2">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二、《部门收入总表》</w:t>
      </w:r>
    </w:p>
    <w:p w14:paraId="7C93F3C9">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三、《部门支出总表》</w:t>
      </w:r>
    </w:p>
    <w:p w14:paraId="5E517C6D">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四、《财政拨款收支总表》</w:t>
      </w:r>
    </w:p>
    <w:p w14:paraId="74B6A481">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五、《一般公共预算支出表》</w:t>
      </w:r>
    </w:p>
    <w:p w14:paraId="0F6A0ACE">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六、《一般公共预算基本支出表》</w:t>
      </w:r>
    </w:p>
    <w:p w14:paraId="740F7070">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七、《一般公共预算“三公”经费支出表》</w:t>
      </w:r>
    </w:p>
    <w:p w14:paraId="666E209D">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八、《政府性基金预算支出表》</w:t>
      </w:r>
    </w:p>
    <w:p w14:paraId="07F52ED6">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九</w:t>
      </w:r>
      <w:r>
        <w:rPr>
          <w:rFonts w:hint="eastAsia" w:ascii="仿宋" w:hAnsi="仿宋" w:eastAsia="仿宋" w:cs="仿宋"/>
          <w:kern w:val="2"/>
          <w:sz w:val="32"/>
          <w:szCs w:val="30"/>
          <w:lang w:eastAsia="zh-CN"/>
        </w:rPr>
        <w:t>、《国有资本经营预算支出表》</w:t>
      </w:r>
    </w:p>
    <w:p w14:paraId="3241A314">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ascii="Adobe 仿宋 Std R" w:hAnsi="Adobe 仿宋 Std R" w:eastAsia="Adobe 仿宋 Std R" w:cs="黑体"/>
          <w:kern w:val="2"/>
          <w:sz w:val="32"/>
          <w:szCs w:val="30"/>
        </w:rPr>
      </w:pPr>
      <w:r>
        <w:rPr>
          <w:rFonts w:hint="eastAsia" w:ascii="仿宋" w:hAnsi="仿宋" w:eastAsia="仿宋" w:cs="仿宋"/>
          <w:kern w:val="2"/>
          <w:sz w:val="32"/>
          <w:szCs w:val="30"/>
          <w:lang w:eastAsia="zh-CN"/>
        </w:rPr>
        <w:t>十、《重点项目绩效目标表》</w:t>
      </w:r>
    </w:p>
    <w:p w14:paraId="4250E408">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第三部分 赣州市南康区第十一中学202</w:t>
      </w:r>
      <w:r>
        <w:rPr>
          <w:rStyle w:val="7"/>
          <w:rFonts w:hint="eastAsia" w:ascii="楷体" w:hAnsi="楷体" w:eastAsia="楷体" w:cs="楷体"/>
          <w:b/>
          <w:sz w:val="32"/>
          <w:szCs w:val="32"/>
          <w:lang w:val="en-US" w:eastAsia="zh-CN"/>
        </w:rPr>
        <w:t>5</w:t>
      </w:r>
      <w:r>
        <w:rPr>
          <w:rStyle w:val="7"/>
          <w:rFonts w:hint="eastAsia" w:ascii="楷体" w:hAnsi="楷体" w:eastAsia="楷体" w:cs="楷体"/>
          <w:b/>
          <w:sz w:val="32"/>
          <w:szCs w:val="32"/>
          <w:lang w:eastAsia="zh-CN"/>
        </w:rPr>
        <w:t>年部门预算情况说明</w:t>
      </w:r>
    </w:p>
    <w:p w14:paraId="37DC8F43">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年部门预算收支情况说明</w:t>
      </w:r>
    </w:p>
    <w:p w14:paraId="3DF7B927">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年“三公”经费预算情况说明</w:t>
      </w:r>
    </w:p>
    <w:p w14:paraId="158A81B8">
      <w:pPr>
        <w:keepNext w:val="0"/>
        <w:keepLines w:val="0"/>
        <w:pageBreakBefore w:val="0"/>
        <w:numPr>
          <w:ilvl w:val="0"/>
          <w:numId w:val="1"/>
        </w:numPr>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 xml:space="preserve"> 名词解释</w:t>
      </w:r>
    </w:p>
    <w:p w14:paraId="7493306B">
      <w:pPr>
        <w:keepNext w:val="0"/>
        <w:keepLines w:val="0"/>
        <w:pageBreakBefore w:val="0"/>
        <w:widowControl w:val="0"/>
        <w:numPr>
          <w:numId w:val="0"/>
        </w:numPr>
        <w:kinsoku/>
        <w:wordWrap/>
        <w:overflowPunct/>
        <w:topLinePunct w:val="0"/>
        <w:autoSpaceDE/>
        <w:autoSpaceDN/>
        <w:bidi w:val="0"/>
        <w:spacing w:line="520" w:lineRule="exact"/>
        <w:jc w:val="both"/>
        <w:textAlignment w:val="auto"/>
        <w:rPr>
          <w:rStyle w:val="7"/>
          <w:rFonts w:hint="eastAsia" w:ascii="楷体" w:hAnsi="楷体" w:eastAsia="楷体" w:cs="楷体"/>
          <w:b/>
          <w:sz w:val="32"/>
          <w:szCs w:val="32"/>
          <w:lang w:eastAsia="zh-CN"/>
        </w:rPr>
      </w:pPr>
    </w:p>
    <w:p w14:paraId="2E335A7A">
      <w:pPr>
        <w:keepNext w:val="0"/>
        <w:keepLines w:val="0"/>
        <w:pageBreakBefore w:val="0"/>
        <w:widowControl w:val="0"/>
        <w:numPr>
          <w:numId w:val="0"/>
        </w:numPr>
        <w:kinsoku/>
        <w:wordWrap/>
        <w:overflowPunct/>
        <w:topLinePunct w:val="0"/>
        <w:autoSpaceDE/>
        <w:autoSpaceDN/>
        <w:bidi w:val="0"/>
        <w:spacing w:line="520" w:lineRule="exact"/>
        <w:jc w:val="both"/>
        <w:textAlignment w:val="auto"/>
        <w:rPr>
          <w:rStyle w:val="7"/>
          <w:rFonts w:hint="eastAsia" w:ascii="楷体" w:hAnsi="楷体" w:eastAsia="楷体" w:cs="楷体"/>
          <w:b/>
          <w:sz w:val="32"/>
          <w:szCs w:val="32"/>
          <w:lang w:eastAsia="zh-CN"/>
        </w:rPr>
      </w:pPr>
    </w:p>
    <w:p w14:paraId="2E71EC44">
      <w:pPr>
        <w:keepNext w:val="0"/>
        <w:keepLines w:val="0"/>
        <w:pageBreakBefore w:val="0"/>
        <w:widowControl w:val="0"/>
        <w:numPr>
          <w:numId w:val="0"/>
        </w:numPr>
        <w:kinsoku/>
        <w:wordWrap/>
        <w:overflowPunct/>
        <w:topLinePunct w:val="0"/>
        <w:autoSpaceDE/>
        <w:autoSpaceDN/>
        <w:bidi w:val="0"/>
        <w:spacing w:line="520" w:lineRule="exact"/>
        <w:jc w:val="both"/>
        <w:textAlignment w:val="auto"/>
        <w:rPr>
          <w:rStyle w:val="7"/>
          <w:rFonts w:hint="eastAsia" w:ascii="楷体" w:hAnsi="楷体" w:eastAsia="楷体" w:cs="楷体"/>
          <w:b/>
          <w:sz w:val="32"/>
          <w:szCs w:val="32"/>
          <w:lang w:eastAsia="zh-CN"/>
        </w:rPr>
      </w:pPr>
    </w:p>
    <w:p w14:paraId="1BD97FD0">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0"/>
        </w:rPr>
        <w:t xml:space="preserve">第一部分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eastAsia="zh-CN"/>
        </w:rPr>
        <w:t>第十一中学</w:t>
      </w:r>
      <w:r>
        <w:rPr>
          <w:rFonts w:hint="eastAsia" w:ascii="黑体" w:hAnsi="黑体" w:eastAsia="黑体" w:cs="黑体"/>
          <w:b w:val="0"/>
          <w:bCs/>
          <w:sz w:val="32"/>
          <w:szCs w:val="30"/>
        </w:rPr>
        <w:t>概况</w:t>
      </w:r>
    </w:p>
    <w:p w14:paraId="0B162A93">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sz w:val="32"/>
          <w:szCs w:val="32"/>
        </w:rPr>
      </w:pPr>
    </w:p>
    <w:p w14:paraId="59B3D1DC">
      <w:pPr>
        <w:keepNext w:val="0"/>
        <w:keepLines w:val="0"/>
        <w:pageBreakBefore w:val="0"/>
        <w:numPr>
          <w:ilvl w:val="0"/>
          <w:numId w:val="2"/>
        </w:numPr>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部门主要职责</w:t>
      </w:r>
    </w:p>
    <w:p w14:paraId="3E3A4E40">
      <w:pPr>
        <w:adjustRightInd w:val="0"/>
        <w:snapToGrid w:val="0"/>
        <w:spacing w:line="600" w:lineRule="exact"/>
        <w:ind w:firstLine="640" w:firstLineChars="200"/>
        <w:rPr>
          <w:rFonts w:hint="eastAsia" w:ascii="仿宋_GB2312" w:hAnsi="仿宋_GB2312" w:eastAsia="仿宋_GB2312"/>
          <w:sz w:val="32"/>
          <w:szCs w:val="32"/>
        </w:rPr>
      </w:pPr>
      <w:r>
        <w:rPr>
          <w:rFonts w:hint="eastAsia" w:ascii="黑体" w:hAnsi="黑体" w:eastAsia="黑体"/>
          <w:sz w:val="32"/>
          <w:szCs w:val="32"/>
          <w:lang w:val="en-US" w:eastAsia="zh-CN"/>
        </w:rPr>
        <w:t xml:space="preserve"> </w:t>
      </w:r>
      <w:r>
        <w:rPr>
          <w:rFonts w:hint="eastAsia" w:ascii="仿宋_GB2312" w:hAnsi="仿宋_GB2312" w:eastAsia="仿宋_GB2312"/>
          <w:sz w:val="32"/>
          <w:szCs w:val="32"/>
        </w:rPr>
        <w:t>赣州市南康区</w:t>
      </w:r>
      <w:r>
        <w:rPr>
          <w:rFonts w:hint="eastAsia" w:ascii="仿宋_GB2312" w:hAnsi="仿宋_GB2312" w:eastAsia="仿宋_GB2312"/>
          <w:sz w:val="32"/>
          <w:szCs w:val="32"/>
          <w:lang w:val="en-US" w:eastAsia="zh-CN"/>
        </w:rPr>
        <w:t>第十一中学是</w:t>
      </w:r>
      <w:r>
        <w:rPr>
          <w:rFonts w:hint="eastAsia" w:ascii="仿宋_GB2312" w:hAnsi="仿宋_GB2312" w:eastAsia="仿宋_GB2312"/>
          <w:sz w:val="32"/>
          <w:szCs w:val="32"/>
        </w:rPr>
        <w:t>赣州市南康区</w:t>
      </w:r>
      <w:r>
        <w:rPr>
          <w:rFonts w:hint="eastAsia" w:ascii="仿宋_GB2312" w:hAnsi="仿宋_GB2312" w:eastAsia="仿宋_GB2312"/>
          <w:sz w:val="32"/>
          <w:szCs w:val="32"/>
          <w:lang w:val="en-US" w:eastAsia="zh-CN"/>
        </w:rPr>
        <w:t>教育体育局下属单位，为正股级。</w:t>
      </w:r>
      <w:r>
        <w:rPr>
          <w:rFonts w:hint="eastAsia" w:ascii="仿宋_GB2312" w:hAnsi="仿宋_GB2312" w:eastAsia="仿宋_GB2312"/>
          <w:sz w:val="32"/>
          <w:szCs w:val="32"/>
        </w:rPr>
        <w:t>主要职责是：</w:t>
      </w:r>
    </w:p>
    <w:p w14:paraId="4EA59972">
      <w:pPr>
        <w:numPr>
          <w:ilvl w:val="0"/>
          <w:numId w:val="3"/>
        </w:numPr>
        <w:adjustRightInd w:val="0"/>
        <w:snapToGrid w:val="0"/>
        <w:spacing w:line="600" w:lineRule="exact"/>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宣传贯彻执行党和国家的教育方针、政策、法律法规等，坚持依法治教、依法治学，贯彻执行区教育科技体育局的决定和要求。</w:t>
      </w:r>
    </w:p>
    <w:p w14:paraId="158EC8C2">
      <w:pPr>
        <w:numPr>
          <w:ilvl w:val="0"/>
          <w:numId w:val="3"/>
        </w:numPr>
        <w:adjustRightInd w:val="0"/>
        <w:snapToGrid w:val="0"/>
        <w:spacing w:line="600" w:lineRule="exact"/>
        <w:ind w:firstLine="640" w:firstLineChars="200"/>
        <w:rPr>
          <w:rFonts w:hint="default"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制定学校发展规划和年度计划。</w:t>
      </w:r>
    </w:p>
    <w:p w14:paraId="35AFADEA">
      <w:pPr>
        <w:numPr>
          <w:ilvl w:val="0"/>
          <w:numId w:val="3"/>
        </w:numPr>
        <w:adjustRightInd w:val="0"/>
        <w:snapToGrid w:val="0"/>
        <w:spacing w:line="600" w:lineRule="exact"/>
        <w:ind w:firstLine="640" w:firstLineChars="200"/>
        <w:rPr>
          <w:rFonts w:hint="default"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管理和指导学校义务教育工作。</w:t>
      </w:r>
    </w:p>
    <w:p w14:paraId="5846D58A">
      <w:pPr>
        <w:numPr>
          <w:ilvl w:val="0"/>
          <w:numId w:val="3"/>
        </w:numPr>
        <w:adjustRightInd w:val="0"/>
        <w:snapToGrid w:val="0"/>
        <w:spacing w:line="600" w:lineRule="exact"/>
        <w:ind w:firstLine="640" w:firstLineChars="200"/>
        <w:rPr>
          <w:rFonts w:hint="default"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管理学校教育经费，执行财务管理制度。</w:t>
      </w:r>
    </w:p>
    <w:p w14:paraId="3D4EB97B">
      <w:pPr>
        <w:numPr>
          <w:ilvl w:val="0"/>
          <w:numId w:val="3"/>
        </w:numPr>
        <w:adjustRightInd w:val="0"/>
        <w:snapToGrid w:val="0"/>
        <w:spacing w:line="600" w:lineRule="exact"/>
        <w:ind w:firstLine="640" w:firstLineChars="200"/>
        <w:rPr>
          <w:rFonts w:hint="default"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负责和指导学校教职工的思想政治工作，负责做好学校社会治安综合治理及安全保卫工作。</w:t>
      </w:r>
    </w:p>
    <w:p w14:paraId="3BEEFE18">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二、机构设置及人员情况</w:t>
      </w:r>
    </w:p>
    <w:p w14:paraId="2DCD89C4">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sz w:val="32"/>
          <w:szCs w:val="32"/>
          <w:lang w:eastAsia="zh-CN"/>
        </w:rPr>
      </w:pPr>
      <w:r>
        <w:rPr>
          <w:rFonts w:hint="eastAsia" w:ascii="仿宋" w:hAnsi="仿宋" w:eastAsia="仿宋" w:cs="仿宋"/>
          <w:kern w:val="2"/>
          <w:sz w:val="32"/>
          <w:szCs w:val="30"/>
          <w:lang w:eastAsia="zh-CN"/>
        </w:rPr>
        <w:t>本单位设立</w:t>
      </w:r>
      <w:r>
        <w:rPr>
          <w:rFonts w:hint="eastAsia" w:ascii="仿宋" w:hAnsi="仿宋" w:eastAsia="仿宋" w:cs="仿宋"/>
          <w:kern w:val="2"/>
          <w:sz w:val="32"/>
          <w:szCs w:val="30"/>
          <w:lang w:val="en-US" w:eastAsia="zh-CN"/>
        </w:rPr>
        <w:t>7</w:t>
      </w:r>
      <w:r>
        <w:rPr>
          <w:rFonts w:hint="eastAsia" w:ascii="仿宋" w:hAnsi="仿宋" w:eastAsia="仿宋" w:cs="仿宋"/>
          <w:kern w:val="2"/>
          <w:sz w:val="32"/>
          <w:szCs w:val="30"/>
          <w:lang w:eastAsia="zh-CN"/>
        </w:rPr>
        <w:t>个内设机构，分别是：党政办、教导处、教研处、政治处、艺体中心、总务处、团总支等</w:t>
      </w:r>
      <w:r>
        <w:rPr>
          <w:rFonts w:hint="eastAsia" w:ascii="仿宋" w:hAnsi="仿宋" w:eastAsia="仿宋" w:cs="仿宋"/>
          <w:color w:val="auto"/>
          <w:sz w:val="32"/>
          <w:szCs w:val="32"/>
          <w:lang w:eastAsia="zh-CN"/>
        </w:rPr>
        <w:t>。</w:t>
      </w:r>
    </w:p>
    <w:p w14:paraId="0F49E7F3">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本单位编制人数小计</w:t>
      </w:r>
      <w:r>
        <w:rPr>
          <w:rFonts w:hint="eastAsia" w:ascii="仿宋" w:hAnsi="仿宋" w:eastAsia="仿宋" w:cs="仿宋"/>
          <w:kern w:val="2"/>
          <w:sz w:val="32"/>
          <w:szCs w:val="30"/>
          <w:lang w:val="en-US" w:eastAsia="zh-CN"/>
        </w:rPr>
        <w:t>172</w:t>
      </w:r>
      <w:r>
        <w:rPr>
          <w:rFonts w:hint="eastAsia" w:ascii="仿宋" w:hAnsi="仿宋" w:eastAsia="仿宋" w:cs="仿宋"/>
          <w:kern w:val="2"/>
          <w:sz w:val="32"/>
          <w:szCs w:val="30"/>
          <w:lang w:eastAsia="zh-CN"/>
        </w:rPr>
        <w:t>人，其中：行政编制人数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人，参照公务员管理的事业编制人数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人，全额补助事业编制人数</w:t>
      </w:r>
      <w:r>
        <w:rPr>
          <w:rFonts w:hint="eastAsia" w:ascii="仿宋" w:hAnsi="仿宋" w:eastAsia="仿宋" w:cs="仿宋"/>
          <w:kern w:val="2"/>
          <w:sz w:val="32"/>
          <w:szCs w:val="30"/>
          <w:lang w:val="en-US" w:eastAsia="zh-CN"/>
        </w:rPr>
        <w:t>172</w:t>
      </w:r>
      <w:r>
        <w:rPr>
          <w:rFonts w:hint="eastAsia" w:ascii="仿宋" w:hAnsi="仿宋" w:eastAsia="仿宋" w:cs="仿宋"/>
          <w:kern w:val="2"/>
          <w:sz w:val="32"/>
          <w:szCs w:val="30"/>
          <w:lang w:eastAsia="zh-CN"/>
        </w:rPr>
        <w:t>人，自收自支编制人数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人。本单位实有人数小计</w:t>
      </w:r>
      <w:r>
        <w:rPr>
          <w:rFonts w:hint="eastAsia" w:ascii="仿宋" w:hAnsi="仿宋" w:eastAsia="仿宋" w:cs="仿宋"/>
          <w:kern w:val="2"/>
          <w:sz w:val="32"/>
          <w:szCs w:val="30"/>
          <w:lang w:val="en-US" w:eastAsia="zh-CN"/>
        </w:rPr>
        <w:t>172</w:t>
      </w:r>
      <w:r>
        <w:rPr>
          <w:rFonts w:hint="eastAsia" w:ascii="仿宋" w:hAnsi="仿宋" w:eastAsia="仿宋" w:cs="仿宋"/>
          <w:kern w:val="2"/>
          <w:sz w:val="32"/>
          <w:szCs w:val="30"/>
          <w:lang w:eastAsia="zh-CN"/>
        </w:rPr>
        <w:t>人，其中：在职人数小计</w:t>
      </w:r>
      <w:r>
        <w:rPr>
          <w:rFonts w:hint="eastAsia" w:ascii="仿宋" w:hAnsi="仿宋" w:eastAsia="仿宋" w:cs="仿宋"/>
          <w:kern w:val="2"/>
          <w:sz w:val="32"/>
          <w:szCs w:val="30"/>
          <w:lang w:val="en-US" w:eastAsia="zh-CN"/>
        </w:rPr>
        <w:t>172</w:t>
      </w:r>
      <w:r>
        <w:rPr>
          <w:rFonts w:hint="eastAsia" w:ascii="仿宋" w:hAnsi="仿宋" w:eastAsia="仿宋" w:cs="仿宋"/>
          <w:kern w:val="2"/>
          <w:sz w:val="32"/>
          <w:szCs w:val="30"/>
          <w:lang w:eastAsia="zh-CN"/>
        </w:rPr>
        <w:t>人，行政在职人数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人，参照公务员管理的事业单位在职人数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人，全额补助事业在职人数</w:t>
      </w:r>
      <w:r>
        <w:rPr>
          <w:rFonts w:hint="eastAsia" w:ascii="仿宋" w:hAnsi="仿宋" w:eastAsia="仿宋" w:cs="仿宋"/>
          <w:kern w:val="2"/>
          <w:sz w:val="32"/>
          <w:szCs w:val="30"/>
          <w:lang w:val="en-US" w:eastAsia="zh-CN"/>
        </w:rPr>
        <w:t>172</w:t>
      </w:r>
      <w:r>
        <w:rPr>
          <w:rFonts w:hint="eastAsia" w:ascii="仿宋" w:hAnsi="仿宋" w:eastAsia="仿宋" w:cs="仿宋"/>
          <w:kern w:val="2"/>
          <w:sz w:val="32"/>
          <w:szCs w:val="30"/>
          <w:lang w:eastAsia="zh-CN"/>
        </w:rPr>
        <w:t>人。离休人数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人，退休人数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人，退职人数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人，遗属人数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人。在校学生</w:t>
      </w:r>
      <w:r>
        <w:rPr>
          <w:rFonts w:hint="eastAsia" w:ascii="仿宋" w:hAnsi="仿宋" w:eastAsia="仿宋" w:cs="仿宋"/>
          <w:kern w:val="2"/>
          <w:sz w:val="32"/>
          <w:szCs w:val="30"/>
          <w:lang w:val="en-US" w:eastAsia="zh-CN"/>
        </w:rPr>
        <w:t>2955</w:t>
      </w:r>
      <w:r>
        <w:rPr>
          <w:rFonts w:hint="eastAsia" w:ascii="仿宋" w:hAnsi="仿宋" w:eastAsia="仿宋" w:cs="仿宋"/>
          <w:kern w:val="2"/>
          <w:sz w:val="32"/>
          <w:szCs w:val="30"/>
          <w:lang w:eastAsia="zh-CN"/>
        </w:rPr>
        <w:t>人。</w:t>
      </w:r>
    </w:p>
    <w:p w14:paraId="7F0C4799">
      <w:pPr>
        <w:keepNext w:val="0"/>
        <w:keepLines w:val="0"/>
        <w:pageBreakBefore w:val="0"/>
        <w:kinsoku/>
        <w:wordWrap/>
        <w:overflowPunct/>
        <w:topLinePunct w:val="0"/>
        <w:autoSpaceDE/>
        <w:autoSpaceDN/>
        <w:bidi w:val="0"/>
        <w:adjustRightInd w:val="0"/>
        <w:snapToGrid w:val="0"/>
        <w:spacing w:line="520" w:lineRule="exact"/>
        <w:ind w:firstLine="640" w:firstLineChars="200"/>
        <w:jc w:val="center"/>
        <w:textAlignment w:val="auto"/>
        <w:rPr>
          <w:rFonts w:hint="eastAsia" w:ascii="黑体" w:hAnsi="黑体" w:eastAsia="黑体" w:cs="黑体"/>
          <w:b w:val="0"/>
          <w:bCs/>
          <w:sz w:val="32"/>
          <w:szCs w:val="30"/>
        </w:rPr>
      </w:pPr>
    </w:p>
    <w:p w14:paraId="0FE9B97B">
      <w:pPr>
        <w:keepNext w:val="0"/>
        <w:keepLines w:val="0"/>
        <w:pageBreakBefore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黑体" w:hAnsi="黑体" w:eastAsia="黑体" w:cs="黑体"/>
          <w:b w:val="0"/>
          <w:bCs/>
          <w:sz w:val="32"/>
          <w:szCs w:val="30"/>
          <w:lang w:eastAsia="zh-CN"/>
        </w:rPr>
      </w:pPr>
      <w:r>
        <w:rPr>
          <w:rFonts w:hint="eastAsia" w:ascii="黑体" w:hAnsi="黑体" w:eastAsia="黑体" w:cs="黑体"/>
          <w:b w:val="0"/>
          <w:bCs/>
          <w:sz w:val="32"/>
          <w:szCs w:val="30"/>
        </w:rPr>
        <w:t xml:space="preserve">第二部分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eastAsia="zh-CN"/>
        </w:rPr>
        <w:t>第十一中学</w:t>
      </w:r>
      <w:r>
        <w:rPr>
          <w:rFonts w:hint="eastAsia" w:ascii="黑体" w:hAnsi="黑体" w:eastAsia="黑体" w:cs="黑体"/>
          <w:b w:val="0"/>
          <w:bCs/>
          <w:sz w:val="32"/>
          <w:szCs w:val="30"/>
          <w:lang w:val="en-US" w:eastAsia="zh-CN"/>
        </w:rPr>
        <w:t>2025</w:t>
      </w:r>
      <w:r>
        <w:rPr>
          <w:rFonts w:hint="eastAsia" w:ascii="黑体" w:hAnsi="黑体" w:eastAsia="黑体" w:cs="黑体"/>
          <w:b w:val="0"/>
          <w:bCs/>
          <w:sz w:val="32"/>
          <w:szCs w:val="30"/>
        </w:rPr>
        <w:t>年</w:t>
      </w:r>
      <w:r>
        <w:rPr>
          <w:rFonts w:hint="eastAsia" w:ascii="黑体" w:hAnsi="黑体" w:eastAsia="黑体" w:cs="黑体"/>
          <w:b w:val="0"/>
          <w:bCs/>
          <w:sz w:val="32"/>
          <w:szCs w:val="30"/>
          <w:lang w:eastAsia="zh-CN"/>
        </w:rPr>
        <w:t>部门预算表</w:t>
      </w:r>
    </w:p>
    <w:p w14:paraId="3C5FA9D0">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p>
    <w:p w14:paraId="6B823D12">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FF0000"/>
          <w:kern w:val="2"/>
          <w:sz w:val="32"/>
          <w:szCs w:val="30"/>
          <w:lang w:val="en-US" w:eastAsia="zh-CN" w:bidi="ar-SA"/>
        </w:rPr>
      </w:pPr>
      <w:r>
        <w:rPr>
          <w:rFonts w:hint="eastAsia" w:ascii="仿宋" w:hAnsi="仿宋" w:eastAsia="仿宋" w:cs="仿宋"/>
          <w:kern w:val="2"/>
          <w:sz w:val="32"/>
          <w:szCs w:val="30"/>
          <w:lang w:val="en-US" w:eastAsia="zh-CN" w:bidi="ar-SA"/>
        </w:rPr>
        <w:t>（详见附表）</w:t>
      </w:r>
    </w:p>
    <w:p w14:paraId="5D8598D0">
      <w:pPr>
        <w:keepNext w:val="0"/>
        <w:keepLines w:val="0"/>
        <w:pageBreakBefore w:val="0"/>
        <w:widowControl/>
        <w:kinsoku/>
        <w:wordWrap/>
        <w:overflowPunct/>
        <w:topLinePunct w:val="0"/>
        <w:autoSpaceDE/>
        <w:autoSpaceDN/>
        <w:bidi w:val="0"/>
        <w:spacing w:line="520" w:lineRule="exact"/>
        <w:jc w:val="center"/>
        <w:textAlignment w:val="auto"/>
        <w:rPr>
          <w:rFonts w:hint="eastAsia" w:ascii="仿宋_GB2312" w:hAnsi="Calibri" w:eastAsia="仿宋_GB2312" w:cs="宋体"/>
          <w:b/>
          <w:kern w:val="0"/>
          <w:sz w:val="32"/>
          <w:szCs w:val="32"/>
        </w:rPr>
      </w:pPr>
    </w:p>
    <w:p w14:paraId="03E7DDDB">
      <w:pPr>
        <w:keepNext w:val="0"/>
        <w:keepLines w:val="0"/>
        <w:pageBreakBefore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黑体" w:hAnsi="黑体" w:eastAsia="黑体" w:cs="黑体"/>
          <w:b w:val="0"/>
          <w:bCs/>
          <w:sz w:val="32"/>
          <w:szCs w:val="30"/>
        </w:rPr>
      </w:pPr>
      <w:r>
        <w:rPr>
          <w:rFonts w:hint="eastAsia" w:ascii="黑体" w:hAnsi="黑体" w:eastAsia="黑体" w:cs="黑体"/>
          <w:b w:val="0"/>
          <w:bCs/>
          <w:sz w:val="32"/>
          <w:szCs w:val="30"/>
        </w:rPr>
        <w:t xml:space="preserve">第三部分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eastAsia="zh-CN"/>
        </w:rPr>
        <w:t>第十一中学</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年部门预算情况说明</w:t>
      </w:r>
    </w:p>
    <w:p w14:paraId="32B554D1">
      <w:pPr>
        <w:keepNext w:val="0"/>
        <w:keepLines w:val="0"/>
        <w:pageBreakBefore w:val="0"/>
        <w:widowControl/>
        <w:kinsoku/>
        <w:wordWrap/>
        <w:overflowPunct/>
        <w:topLinePunct w:val="0"/>
        <w:autoSpaceDE/>
        <w:autoSpaceDN/>
        <w:bidi w:val="0"/>
        <w:spacing w:line="520" w:lineRule="exact"/>
        <w:jc w:val="center"/>
        <w:textAlignment w:val="auto"/>
        <w:rPr>
          <w:rFonts w:ascii="仿宋_GB2312" w:eastAsia="仿宋_GB2312"/>
          <w:b/>
          <w:sz w:val="32"/>
          <w:szCs w:val="30"/>
        </w:rPr>
      </w:pPr>
    </w:p>
    <w:p w14:paraId="4A7C1F81">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一、</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4</w:t>
      </w:r>
      <w:r>
        <w:rPr>
          <w:rFonts w:hint="eastAsia" w:ascii="黑体" w:hAnsi="黑体" w:eastAsia="黑体" w:cs="黑体"/>
          <w:b w:val="0"/>
          <w:bCs/>
          <w:sz w:val="32"/>
          <w:szCs w:val="30"/>
        </w:rPr>
        <w:t>年部门预算收支情况说明</w:t>
      </w:r>
    </w:p>
    <w:p w14:paraId="7FA1D4CB">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_GB2312" w:hAnsi="楷体_GB2312" w:eastAsia="楷体_GB2312" w:cs="楷体_GB2312"/>
          <w:b/>
          <w:bCs w:val="0"/>
          <w:color w:val="FF0000"/>
          <w:sz w:val="32"/>
          <w:szCs w:val="32"/>
          <w:lang w:eastAsia="zh-CN"/>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一</w:t>
      </w:r>
      <w:r>
        <w:rPr>
          <w:rStyle w:val="7"/>
          <w:rFonts w:hint="eastAsia" w:ascii="楷体" w:hAnsi="楷体" w:eastAsia="楷体" w:cs="楷体"/>
          <w:b/>
          <w:sz w:val="32"/>
          <w:szCs w:val="32"/>
        </w:rPr>
        <w:t>）收入预算情况</w:t>
      </w:r>
    </w:p>
    <w:p w14:paraId="2237F672">
      <w:pPr>
        <w:keepNext w:val="0"/>
        <w:keepLines w:val="0"/>
        <w:pageBreakBefore w:val="0"/>
        <w:widowControl/>
        <w:kinsoku/>
        <w:wordWrap/>
        <w:overflowPunct/>
        <w:topLinePunct w:val="0"/>
        <w:autoSpaceDE/>
        <w:autoSpaceDN/>
        <w:bidi w:val="0"/>
        <w:spacing w:line="520" w:lineRule="exact"/>
        <w:ind w:firstLine="640" w:firstLineChars="200"/>
        <w:textAlignment w:val="auto"/>
        <w:rPr>
          <w:rFonts w:ascii="仿宋" w:hAnsi="仿宋" w:eastAsia="仿宋" w:cs="Times New Roman"/>
          <w:kern w:val="0"/>
          <w:sz w:val="32"/>
        </w:rPr>
      </w:pPr>
      <w:r>
        <w:rPr>
          <w:rFonts w:hint="eastAsia" w:ascii="仿宋" w:hAnsi="仿宋" w:eastAsia="仿宋" w:cs="仿宋"/>
          <w:kern w:val="2"/>
          <w:sz w:val="32"/>
          <w:szCs w:val="30"/>
          <w:lang w:val="en-US" w:eastAsia="zh-CN" w:bidi="ar-SA"/>
        </w:rPr>
        <w:t>2025年</w:t>
      </w:r>
      <w:r>
        <w:rPr>
          <w:rFonts w:hint="eastAsia" w:ascii="仿宋" w:hAnsi="仿宋" w:eastAsia="仿宋" w:cs="仿宋"/>
          <w:kern w:val="2"/>
          <w:sz w:val="32"/>
          <w:szCs w:val="30"/>
          <w:lang w:eastAsia="zh-CN"/>
        </w:rPr>
        <w:t>赣州市南康区第十一中学收入预算总额为</w:t>
      </w:r>
      <w:r>
        <w:rPr>
          <w:rFonts w:hint="eastAsia" w:ascii="仿宋" w:hAnsi="仿宋" w:eastAsia="仿宋" w:cs="仿宋"/>
          <w:kern w:val="2"/>
          <w:sz w:val="32"/>
          <w:szCs w:val="30"/>
          <w:lang w:val="en-US" w:eastAsia="zh-CN"/>
        </w:rPr>
        <w:t>2730.41</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77.96</w:t>
      </w:r>
      <w:r>
        <w:rPr>
          <w:rFonts w:hint="eastAsia" w:ascii="仿宋" w:hAnsi="仿宋" w:eastAsia="仿宋" w:cs="仿宋"/>
          <w:kern w:val="2"/>
          <w:sz w:val="32"/>
          <w:szCs w:val="30"/>
          <w:lang w:eastAsia="zh-CN"/>
        </w:rPr>
        <w:t>万元，主要原因是是校建项目减少及预算更加精确。其中：财政拨款收入</w:t>
      </w:r>
      <w:r>
        <w:rPr>
          <w:rFonts w:hint="eastAsia" w:ascii="仿宋" w:hAnsi="仿宋" w:eastAsia="仿宋" w:cs="仿宋"/>
          <w:kern w:val="2"/>
          <w:sz w:val="32"/>
          <w:szCs w:val="30"/>
          <w:lang w:val="en-US" w:eastAsia="zh-CN"/>
        </w:rPr>
        <w:t>1870.41</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222.04</w:t>
      </w:r>
      <w:r>
        <w:rPr>
          <w:rFonts w:hint="eastAsia" w:ascii="仿宋" w:hAnsi="仿宋" w:eastAsia="仿宋" w:cs="仿宋"/>
          <w:kern w:val="2"/>
          <w:sz w:val="32"/>
          <w:szCs w:val="30"/>
          <w:lang w:eastAsia="zh-CN"/>
        </w:rPr>
        <w:t>万元;教育收费资金收入</w:t>
      </w:r>
      <w:r>
        <w:rPr>
          <w:rFonts w:hint="eastAsia" w:ascii="仿宋" w:hAnsi="仿宋" w:eastAsia="仿宋" w:cs="仿宋"/>
          <w:kern w:val="2"/>
          <w:sz w:val="32"/>
          <w:szCs w:val="30"/>
          <w:lang w:val="en-US" w:eastAsia="zh-CN"/>
        </w:rPr>
        <w:t>860</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269.53</w:t>
      </w:r>
      <w:r>
        <w:rPr>
          <w:rFonts w:hint="eastAsia" w:ascii="仿宋" w:hAnsi="仿宋" w:eastAsia="仿宋" w:cs="仿宋"/>
          <w:kern w:val="2"/>
          <w:sz w:val="32"/>
          <w:szCs w:val="30"/>
          <w:lang w:eastAsia="zh-CN"/>
        </w:rPr>
        <w:t>万元;事业单位经营收入</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万元;国库集中支付网上结转</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30.47</w:t>
      </w:r>
      <w:r>
        <w:rPr>
          <w:rFonts w:hint="eastAsia" w:ascii="仿宋" w:hAnsi="仿宋" w:eastAsia="仿宋" w:cs="仿宋"/>
          <w:kern w:val="2"/>
          <w:sz w:val="32"/>
          <w:szCs w:val="30"/>
          <w:lang w:eastAsia="zh-CN"/>
        </w:rPr>
        <w:t>万元。</w:t>
      </w:r>
    </w:p>
    <w:p w14:paraId="42AC3F05">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二</w:t>
      </w:r>
      <w:r>
        <w:rPr>
          <w:rStyle w:val="7"/>
          <w:rFonts w:hint="eastAsia" w:ascii="楷体" w:hAnsi="楷体" w:eastAsia="楷体" w:cs="楷体"/>
          <w:b/>
          <w:sz w:val="32"/>
          <w:szCs w:val="32"/>
        </w:rPr>
        <w:t>）支出预算情况</w:t>
      </w:r>
    </w:p>
    <w:p w14:paraId="13AC6CF0">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年赣州市南康区第十一中学支出预算总额为支出预算总额为</w:t>
      </w:r>
      <w:r>
        <w:rPr>
          <w:rFonts w:hint="eastAsia" w:ascii="仿宋" w:hAnsi="仿宋" w:eastAsia="仿宋" w:cs="仿宋"/>
          <w:kern w:val="2"/>
          <w:sz w:val="32"/>
          <w:szCs w:val="30"/>
          <w:lang w:val="en-US" w:eastAsia="zh-CN"/>
        </w:rPr>
        <w:t>2730.41</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77.96</w:t>
      </w:r>
      <w:r>
        <w:rPr>
          <w:rFonts w:hint="eastAsia" w:ascii="仿宋" w:hAnsi="仿宋" w:eastAsia="仿宋" w:cs="仿宋"/>
          <w:kern w:val="2"/>
          <w:sz w:val="32"/>
          <w:szCs w:val="30"/>
          <w:lang w:eastAsia="zh-CN"/>
        </w:rPr>
        <w:t>万元，主要原因是校建项目减少。其中：</w:t>
      </w:r>
    </w:p>
    <w:p w14:paraId="3933A9D7">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按支出项目类别划分：基本支出</w:t>
      </w:r>
      <w:r>
        <w:rPr>
          <w:rFonts w:hint="eastAsia" w:ascii="仿宋" w:hAnsi="仿宋" w:eastAsia="仿宋" w:cs="仿宋"/>
          <w:kern w:val="2"/>
          <w:sz w:val="32"/>
          <w:szCs w:val="30"/>
          <w:lang w:val="en-US" w:eastAsia="zh-CN"/>
        </w:rPr>
        <w:t>1868.87</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222.04</w:t>
      </w:r>
      <w:r>
        <w:rPr>
          <w:rFonts w:hint="eastAsia" w:ascii="仿宋" w:hAnsi="仿宋" w:eastAsia="仿宋" w:cs="仿宋"/>
          <w:kern w:val="2"/>
          <w:sz w:val="32"/>
          <w:szCs w:val="30"/>
          <w:lang w:eastAsia="zh-CN"/>
        </w:rPr>
        <w:t>万元，其中：工资福利支</w:t>
      </w:r>
      <w:r>
        <w:rPr>
          <w:rFonts w:hint="eastAsia" w:ascii="仿宋" w:hAnsi="仿宋" w:eastAsia="仿宋" w:cs="仿宋"/>
          <w:kern w:val="2"/>
          <w:sz w:val="32"/>
          <w:szCs w:val="30"/>
          <w:lang w:val="en-US" w:eastAsia="zh-CN"/>
        </w:rPr>
        <w:t>1868.87</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万元。项目支出</w:t>
      </w:r>
      <w:r>
        <w:rPr>
          <w:rFonts w:hint="eastAsia" w:ascii="仿宋" w:hAnsi="仿宋" w:eastAsia="仿宋" w:cs="仿宋"/>
          <w:kern w:val="2"/>
          <w:sz w:val="32"/>
          <w:szCs w:val="30"/>
          <w:lang w:val="en-US" w:eastAsia="zh-CN"/>
        </w:rPr>
        <w:t>861.54</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300</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861.54</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万元，对企业补助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7F9906AA">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按支出功能科目划分：一般公共服务支出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万元;教育支出</w:t>
      </w:r>
      <w:r>
        <w:rPr>
          <w:rFonts w:hint="eastAsia" w:ascii="仿宋" w:hAnsi="仿宋" w:eastAsia="仿宋" w:cs="仿宋"/>
          <w:kern w:val="2"/>
          <w:sz w:val="32"/>
          <w:szCs w:val="30"/>
          <w:lang w:val="en-US" w:eastAsia="zh-CN"/>
        </w:rPr>
        <w:t>2730.41</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77.96</w:t>
      </w:r>
      <w:r>
        <w:rPr>
          <w:rFonts w:hint="eastAsia" w:ascii="仿宋" w:hAnsi="仿宋" w:eastAsia="仿宋" w:cs="仿宋"/>
          <w:kern w:val="2"/>
          <w:sz w:val="32"/>
          <w:szCs w:val="30"/>
          <w:lang w:eastAsia="zh-CN"/>
        </w:rPr>
        <w:t>万元;科学技术支出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万元;社会保障和就业支出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万元;卫生健康支出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万元;农林水支出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万元;住房保障支出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5384AC13">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按支出经济分类划分：工资福利支出</w:t>
      </w:r>
      <w:r>
        <w:rPr>
          <w:rFonts w:hint="eastAsia" w:ascii="仿宋" w:hAnsi="仿宋" w:eastAsia="仿宋" w:cs="仿宋"/>
          <w:kern w:val="2"/>
          <w:sz w:val="32"/>
          <w:szCs w:val="30"/>
          <w:lang w:val="en-US" w:eastAsia="zh-CN"/>
        </w:rPr>
        <w:t>1868.87</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222.04</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861.54</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300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万元;对企业补助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386B6A59">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三</w:t>
      </w:r>
      <w:r>
        <w:rPr>
          <w:rStyle w:val="7"/>
          <w:rFonts w:hint="eastAsia" w:ascii="楷体" w:hAnsi="楷体" w:eastAsia="楷体" w:cs="楷体"/>
          <w:b/>
          <w:sz w:val="32"/>
          <w:szCs w:val="32"/>
        </w:rPr>
        <w:t>）财政拨款支出情况</w:t>
      </w:r>
    </w:p>
    <w:p w14:paraId="4EBE9858">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年赣州市南康区第十一中学财政拨款支出预算总额为财政拨款支出预算总额</w:t>
      </w:r>
      <w:r>
        <w:rPr>
          <w:rFonts w:hint="eastAsia" w:ascii="仿宋" w:hAnsi="仿宋" w:eastAsia="仿宋" w:cs="仿宋"/>
          <w:kern w:val="2"/>
          <w:sz w:val="32"/>
          <w:szCs w:val="30"/>
          <w:lang w:val="en-US" w:eastAsia="zh-CN"/>
        </w:rPr>
        <w:t>1870.41</w:t>
      </w:r>
      <w:r>
        <w:rPr>
          <w:rFonts w:hint="eastAsia" w:ascii="仿宋" w:hAnsi="仿宋" w:eastAsia="仿宋" w:cs="仿宋"/>
          <w:kern w:val="2"/>
          <w:sz w:val="32"/>
          <w:szCs w:val="30"/>
          <w:lang w:eastAsia="zh-CN"/>
        </w:rPr>
        <w:t>万元，较上年预算安排增</w:t>
      </w:r>
      <w:r>
        <w:rPr>
          <w:rFonts w:hint="eastAsia" w:ascii="仿宋" w:hAnsi="仿宋" w:eastAsia="仿宋" w:cs="仿宋"/>
          <w:kern w:val="2"/>
          <w:sz w:val="32"/>
          <w:szCs w:val="30"/>
          <w:lang w:val="en-US" w:eastAsia="zh-CN"/>
        </w:rPr>
        <w:t>222.04</w:t>
      </w:r>
      <w:r>
        <w:rPr>
          <w:rFonts w:hint="eastAsia" w:ascii="仿宋" w:hAnsi="仿宋" w:eastAsia="仿宋" w:cs="仿宋"/>
          <w:kern w:val="2"/>
          <w:sz w:val="32"/>
          <w:szCs w:val="30"/>
          <w:lang w:eastAsia="zh-CN"/>
        </w:rPr>
        <w:t>万元，主要原因是工资福利等支出增加。</w:t>
      </w:r>
    </w:p>
    <w:p w14:paraId="661A55F5">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按支出功能科目划分：一般公共服务支出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万元，教育支出</w:t>
      </w:r>
      <w:r>
        <w:rPr>
          <w:rFonts w:hint="eastAsia" w:ascii="仿宋" w:hAnsi="仿宋" w:eastAsia="仿宋" w:cs="仿宋"/>
          <w:kern w:val="2"/>
          <w:sz w:val="32"/>
          <w:szCs w:val="30"/>
          <w:lang w:val="en-US" w:eastAsia="zh-CN"/>
        </w:rPr>
        <w:t>1870.41</w:t>
      </w:r>
      <w:r>
        <w:rPr>
          <w:rFonts w:hint="eastAsia" w:ascii="仿宋" w:hAnsi="仿宋" w:eastAsia="仿宋" w:cs="仿宋"/>
          <w:kern w:val="2"/>
          <w:sz w:val="32"/>
          <w:szCs w:val="30"/>
          <w:lang w:eastAsia="zh-CN"/>
        </w:rPr>
        <w:t>万元，社会保障和就业支出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万元，卫生健康支出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万元，住房保障支出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26350E86">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按支出项目类别划分：基本支出</w:t>
      </w:r>
      <w:r>
        <w:rPr>
          <w:rFonts w:hint="eastAsia" w:ascii="仿宋" w:hAnsi="仿宋" w:eastAsia="仿宋" w:cs="仿宋"/>
          <w:kern w:val="2"/>
          <w:sz w:val="32"/>
          <w:szCs w:val="30"/>
          <w:lang w:val="en-US" w:eastAsia="zh-CN"/>
        </w:rPr>
        <w:t>1868.87</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222.04</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1868.87</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万元。项目支出</w:t>
      </w:r>
      <w:r>
        <w:rPr>
          <w:rFonts w:hint="eastAsia" w:ascii="仿宋" w:hAnsi="仿宋" w:eastAsia="仿宋" w:cs="仿宋"/>
          <w:kern w:val="2"/>
          <w:sz w:val="32"/>
          <w:szCs w:val="30"/>
          <w:lang w:val="en-US" w:eastAsia="zh-CN"/>
        </w:rPr>
        <w:t>1.54</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万元，其中：商品和服务支出</w:t>
      </w:r>
      <w:r>
        <w:rPr>
          <w:rFonts w:hint="eastAsia" w:ascii="仿宋" w:hAnsi="仿宋" w:eastAsia="仿宋" w:cs="仿宋"/>
          <w:kern w:val="2"/>
          <w:sz w:val="32"/>
          <w:szCs w:val="30"/>
          <w:lang w:val="en-US" w:eastAsia="zh-CN"/>
        </w:rPr>
        <w:t>1.54</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7A78AD8D">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四</w:t>
      </w:r>
      <w:r>
        <w:rPr>
          <w:rStyle w:val="7"/>
          <w:rFonts w:hint="eastAsia" w:ascii="楷体" w:hAnsi="楷体" w:eastAsia="楷体" w:cs="楷体"/>
          <w:b/>
          <w:sz w:val="32"/>
          <w:szCs w:val="32"/>
        </w:rPr>
        <w:t>）政府性基金情况</w:t>
      </w:r>
    </w:p>
    <w:p w14:paraId="3FB77673">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2025年赣州市南康区第十一中学没有使用政府性基金预算拨款安排的支出。</w:t>
      </w:r>
    </w:p>
    <w:p w14:paraId="048126F9">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（五）国有资本经营情况</w:t>
      </w:r>
    </w:p>
    <w:p w14:paraId="4B0C448C">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2025年赣州市南康区第十一中学没有使用国有资本经营预算拨款安排的支出。</w:t>
      </w:r>
    </w:p>
    <w:p w14:paraId="6923900F">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六</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机关运行经费等重要事项的说明</w:t>
      </w:r>
    </w:p>
    <w:p w14:paraId="3B26FABA">
      <w:pPr>
        <w:widowControl/>
        <w:spacing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lang w:eastAsia="zh-CN"/>
        </w:rPr>
        <w:t>本</w:t>
      </w:r>
      <w:r>
        <w:rPr>
          <w:rFonts w:hint="eastAsia" w:ascii="仿宋" w:hAnsi="仿宋" w:eastAsia="仿宋" w:cs="仿宋"/>
          <w:sz w:val="32"/>
          <w:szCs w:val="32"/>
        </w:rPr>
        <w:t>部门</w:t>
      </w:r>
      <w:r>
        <w:rPr>
          <w:rFonts w:hint="eastAsia" w:ascii="仿宋" w:hAnsi="仿宋" w:eastAsia="仿宋" w:cs="仿宋"/>
          <w:sz w:val="32"/>
          <w:szCs w:val="32"/>
          <w:lang w:eastAsia="zh-CN"/>
        </w:rPr>
        <w:t>不是行政单位或参照公务员法管理事业单位，无机关运行经费支出。</w:t>
      </w:r>
    </w:p>
    <w:p w14:paraId="18F2F256">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14:paraId="69DC9AE6">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七</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政府采购情况</w:t>
      </w:r>
    </w:p>
    <w:p w14:paraId="04008A8B">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2025年赣州市南康区第十一中学政府采购总额</w:t>
      </w:r>
      <w:r>
        <w:rPr>
          <w:rFonts w:hint="eastAsia" w:ascii="仿宋" w:hAnsi="仿宋" w:eastAsia="仿宋" w:cs="仿宋"/>
          <w:kern w:val="2"/>
          <w:sz w:val="32"/>
          <w:szCs w:val="30"/>
          <w:lang w:val="en-US" w:eastAsia="zh-CN"/>
        </w:rPr>
        <w:t>98</w:t>
      </w:r>
      <w:r>
        <w:rPr>
          <w:rFonts w:hint="eastAsia" w:ascii="仿宋" w:hAnsi="仿宋" w:eastAsia="仿宋" w:cs="仿宋"/>
          <w:kern w:val="2"/>
          <w:sz w:val="32"/>
          <w:szCs w:val="30"/>
          <w:lang w:val="en-US" w:eastAsia="zh-CN" w:bidi="ar-SA"/>
        </w:rPr>
        <w:t>万元，其中: 政府采购货物预算</w:t>
      </w:r>
      <w:r>
        <w:rPr>
          <w:rFonts w:hint="eastAsia" w:ascii="仿宋" w:hAnsi="仿宋" w:eastAsia="仿宋" w:cs="仿宋"/>
          <w:kern w:val="2"/>
          <w:sz w:val="32"/>
          <w:szCs w:val="30"/>
          <w:lang w:val="en-US" w:eastAsia="zh-CN"/>
        </w:rPr>
        <w:t>98</w:t>
      </w:r>
      <w:r>
        <w:rPr>
          <w:rFonts w:hint="eastAsia" w:ascii="仿宋" w:hAnsi="仿宋" w:eastAsia="仿宋" w:cs="仿宋"/>
          <w:kern w:val="2"/>
          <w:sz w:val="32"/>
          <w:szCs w:val="30"/>
          <w:lang w:val="en-US" w:eastAsia="zh-CN" w:bidi="ar-SA"/>
        </w:rPr>
        <w:t>万元，政府采购工程预算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val="en-US" w:eastAsia="zh-CN" w:bidi="ar-SA"/>
        </w:rPr>
        <w:t>万元，政府采购服务预算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val="en-US" w:eastAsia="zh-CN" w:bidi="ar-SA"/>
        </w:rPr>
        <w:t>万元。</w:t>
      </w:r>
    </w:p>
    <w:p w14:paraId="18F27126">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八</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国有资产占有使用情况</w:t>
      </w:r>
    </w:p>
    <w:p w14:paraId="6A804603">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截至202</w:t>
      </w:r>
      <w:r>
        <w:rPr>
          <w:rFonts w:hint="eastAsia" w:ascii="仿宋" w:hAnsi="仿宋" w:eastAsia="仿宋" w:cs="仿宋"/>
          <w:kern w:val="2"/>
          <w:sz w:val="32"/>
          <w:szCs w:val="30"/>
          <w:lang w:val="en-US" w:eastAsia="zh-CN"/>
        </w:rPr>
        <w:t>4年底</w:t>
      </w:r>
      <w:r>
        <w:rPr>
          <w:rFonts w:hint="eastAsia" w:ascii="仿宋" w:hAnsi="仿宋" w:eastAsia="仿宋" w:cs="仿宋"/>
          <w:kern w:val="2"/>
          <w:sz w:val="32"/>
          <w:szCs w:val="30"/>
          <w:lang w:eastAsia="zh-CN"/>
        </w:rPr>
        <w:t>，本单位共有车辆</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辆，其中：一般公务用车实有数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辆，执法执勤用车实有数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w:t>
      </w:r>
    </w:p>
    <w:p w14:paraId="66EEF4AE">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年部门预算安排购置车辆</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w:t>
      </w:r>
    </w:p>
    <w:p w14:paraId="7C19CBBA">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FF0000"/>
          <w:kern w:val="2"/>
          <w:sz w:val="32"/>
          <w:szCs w:val="30"/>
          <w:lang w:eastAsia="zh-CN"/>
        </w:rPr>
      </w:pPr>
      <w:r>
        <w:rPr>
          <w:rFonts w:hint="eastAsia" w:ascii="仿宋" w:hAnsi="仿宋" w:eastAsia="仿宋" w:cs="仿宋"/>
          <w:kern w:val="2"/>
          <w:sz w:val="32"/>
          <w:szCs w:val="30"/>
          <w:lang w:val="en-US" w:eastAsia="zh-CN"/>
        </w:rPr>
        <w:t>2025年</w:t>
      </w:r>
      <w:r>
        <w:rPr>
          <w:rFonts w:hint="eastAsia" w:ascii="仿宋" w:hAnsi="仿宋" w:eastAsia="仿宋" w:cs="仿宋"/>
          <w:kern w:val="2"/>
          <w:sz w:val="32"/>
          <w:szCs w:val="30"/>
          <w:lang w:eastAsia="zh-CN"/>
        </w:rPr>
        <w:t>安排购置单位价值200万元以上大型设备具体为：202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年未安排购置单位价值200万元以上大型设备。</w:t>
      </w:r>
      <w:r>
        <w:rPr>
          <w:rFonts w:hint="eastAsia" w:ascii="仿宋" w:hAnsi="仿宋" w:eastAsia="仿宋" w:cs="仿宋"/>
          <w:color w:val="FF0000"/>
          <w:kern w:val="2"/>
          <w:sz w:val="32"/>
          <w:szCs w:val="30"/>
          <w:lang w:eastAsia="zh-CN"/>
        </w:rPr>
        <w:t xml:space="preserve"> </w:t>
      </w:r>
    </w:p>
    <w:p w14:paraId="661A9B9F">
      <w:pPr>
        <w:keepNext w:val="0"/>
        <w:keepLines w:val="0"/>
        <w:pageBreakBefore w:val="0"/>
        <w:numPr>
          <w:ilvl w:val="0"/>
          <w:numId w:val="4"/>
        </w:numPr>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fldChar w:fldCharType="begin"/>
      </w:r>
      <w:r>
        <w:rPr>
          <w:rStyle w:val="7"/>
          <w:rFonts w:hint="eastAsia" w:ascii="楷体" w:hAnsi="楷体" w:eastAsia="楷体" w:cs="楷体"/>
          <w:b/>
          <w:sz w:val="32"/>
          <w:szCs w:val="32"/>
        </w:rPr>
        <w:instrText xml:space="preserve">MERGEFIELD ${page400644146.ds509943833_REP_JXJC_AGENCY_WZR_NAME}</w:instrText>
      </w:r>
      <w:r>
        <w:rPr>
          <w:rStyle w:val="7"/>
          <w:rFonts w:hint="eastAsia" w:ascii="楷体" w:hAnsi="楷体" w:eastAsia="楷体" w:cs="楷体"/>
          <w:b/>
          <w:sz w:val="32"/>
          <w:szCs w:val="32"/>
        </w:rPr>
        <w:fldChar w:fldCharType="separate"/>
      </w:r>
      <w:r>
        <w:rPr>
          <w:rStyle w:val="7"/>
          <w:rFonts w:hint="eastAsia" w:ascii="楷体" w:hAnsi="楷体" w:eastAsia="楷体" w:cs="楷体"/>
          <w:b/>
          <w:sz w:val="32"/>
          <w:szCs w:val="32"/>
          <w:lang w:eastAsia="zh-CN"/>
        </w:rPr>
        <w:t>赣州市南康区第十一中学</w:t>
      </w:r>
      <w:r>
        <w:rPr>
          <w:rStyle w:val="7"/>
          <w:rFonts w:hint="eastAsia" w:ascii="楷体" w:hAnsi="楷体" w:eastAsia="楷体" w:cs="楷体"/>
          <w:b/>
          <w:sz w:val="32"/>
          <w:szCs w:val="32"/>
        </w:rPr>
        <w:fldChar w:fldCharType="end"/>
      </w:r>
      <w:r>
        <w:rPr>
          <w:rStyle w:val="7"/>
          <w:rFonts w:hint="eastAsia" w:ascii="楷体" w:hAnsi="楷体" w:eastAsia="楷体" w:cs="楷体"/>
          <w:b/>
          <w:sz w:val="32"/>
          <w:szCs w:val="32"/>
          <w:lang w:eastAsia="zh-CN"/>
        </w:rPr>
        <w:t>课后服务</w:t>
      </w:r>
      <w:r>
        <w:rPr>
          <w:rStyle w:val="7"/>
          <w:rFonts w:hint="eastAsia" w:ascii="楷体" w:hAnsi="楷体" w:eastAsia="楷体" w:cs="楷体"/>
          <w:b/>
          <w:sz w:val="32"/>
          <w:szCs w:val="32"/>
        </w:rPr>
        <w:t>项目情况</w:t>
      </w:r>
      <w:r>
        <w:rPr>
          <w:rStyle w:val="7"/>
          <w:rFonts w:hint="eastAsia" w:ascii="楷体" w:hAnsi="楷体" w:eastAsia="楷体" w:cs="楷体"/>
          <w:b/>
          <w:sz w:val="32"/>
          <w:szCs w:val="32"/>
          <w:lang w:eastAsia="zh-CN"/>
        </w:rPr>
        <w:t>说明</w:t>
      </w:r>
    </w:p>
    <w:p w14:paraId="088AE140">
      <w:pPr>
        <w:keepNext w:val="0"/>
        <w:keepLines w:val="0"/>
        <w:pageBreakBefore w:val="0"/>
        <w:kinsoku/>
        <w:wordWrap/>
        <w:overflowPunct/>
        <w:topLinePunct w:val="0"/>
        <w:autoSpaceDE/>
        <w:autoSpaceDN/>
        <w:bidi w:val="0"/>
        <w:spacing w:line="560" w:lineRule="exact"/>
        <w:ind w:firstLine="642"/>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（1）项目概述：为进一步满足新时代中小学生和家长对课后服务的迫切需求，帮助家长解决实际困难，促进中小学生健康成长，增强教育公共服务能力。</w:t>
      </w:r>
    </w:p>
    <w:p w14:paraId="0500E04A">
      <w:pPr>
        <w:keepNext w:val="0"/>
        <w:keepLines w:val="0"/>
        <w:pageBreakBefore w:val="0"/>
        <w:kinsoku/>
        <w:wordWrap/>
        <w:overflowPunct/>
        <w:topLinePunct w:val="0"/>
        <w:autoSpaceDE/>
        <w:autoSpaceDN/>
        <w:bidi w:val="0"/>
        <w:spacing w:line="560" w:lineRule="exact"/>
        <w:ind w:firstLine="642"/>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（2）立项依据：市教育局、市发改委、市财政局、市人社局《转发省教育厅等四部门&lt;关于做好全省中小学生课后服务工作的指导意见&gt;的通知》(赣市教基字〔2019〕57 号) 。</w:t>
      </w:r>
    </w:p>
    <w:p w14:paraId="11833D98">
      <w:pPr>
        <w:keepNext w:val="0"/>
        <w:keepLines w:val="0"/>
        <w:pageBreakBefore w:val="0"/>
        <w:kinsoku/>
        <w:wordWrap/>
        <w:overflowPunct/>
        <w:topLinePunct w:val="0"/>
        <w:autoSpaceDE/>
        <w:autoSpaceDN/>
        <w:bidi w:val="0"/>
        <w:spacing w:line="560" w:lineRule="exact"/>
        <w:ind w:firstLine="642"/>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（3）实施主体：赣州市南康区第十一中学</w:t>
      </w:r>
    </w:p>
    <w:p w14:paraId="09386B23">
      <w:pPr>
        <w:keepNext w:val="0"/>
        <w:keepLines w:val="0"/>
        <w:pageBreakBefore w:val="0"/>
        <w:kinsoku/>
        <w:wordWrap/>
        <w:overflowPunct/>
        <w:topLinePunct w:val="0"/>
        <w:autoSpaceDE/>
        <w:autoSpaceDN/>
        <w:bidi w:val="0"/>
        <w:spacing w:line="560" w:lineRule="exact"/>
        <w:ind w:firstLine="642"/>
        <w:textAlignment w:val="auto"/>
        <w:rPr>
          <w:rFonts w:hint="default"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（4）实施方案：根据《赣州市南康区第十一中学学生课后服务工作实施方案》施行</w:t>
      </w:r>
    </w:p>
    <w:p w14:paraId="652FE537">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（5）实施周期：2025年1月1日——2025年12月31日</w:t>
      </w:r>
    </w:p>
    <w:p w14:paraId="1F1E007D">
      <w:pPr>
        <w:keepNext w:val="0"/>
        <w:keepLines w:val="0"/>
        <w:pageBreakBefore w:val="0"/>
        <w:kinsoku/>
        <w:wordWrap/>
        <w:overflowPunct/>
        <w:topLinePunct w:val="0"/>
        <w:autoSpaceDE/>
        <w:autoSpaceDN/>
        <w:bidi w:val="0"/>
        <w:spacing w:line="560" w:lineRule="exact"/>
        <w:ind w:firstLine="642"/>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（6）年度预算安排:540万元。</w:t>
      </w:r>
    </w:p>
    <w:p w14:paraId="0D39BA76">
      <w:pPr>
        <w:keepNext w:val="0"/>
        <w:keepLines w:val="0"/>
        <w:pageBreakBefore w:val="0"/>
        <w:kinsoku/>
        <w:wordWrap/>
        <w:overflowPunct/>
        <w:topLinePunct w:val="0"/>
        <w:autoSpaceDE/>
        <w:autoSpaceDN/>
        <w:bidi w:val="0"/>
        <w:spacing w:line="560" w:lineRule="exact"/>
        <w:ind w:firstLine="642"/>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（7）绩效目标和指标</w:t>
      </w:r>
    </w:p>
    <w:p w14:paraId="1F480F0A">
      <w:pPr>
        <w:keepNext w:val="0"/>
        <w:keepLines w:val="0"/>
        <w:pageBreakBefore w:val="0"/>
        <w:kinsoku/>
        <w:wordWrap/>
        <w:overflowPunct/>
        <w:topLinePunct w:val="0"/>
        <w:autoSpaceDE/>
        <w:autoSpaceDN/>
        <w:bidi w:val="0"/>
        <w:spacing w:line="560" w:lineRule="exact"/>
        <w:ind w:firstLine="642"/>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质量指标：三级指标——促进学生全面发展，指标值——有所提高。</w:t>
      </w:r>
    </w:p>
    <w:p w14:paraId="25BB51AE">
      <w:pPr>
        <w:keepNext w:val="0"/>
        <w:keepLines w:val="0"/>
        <w:pageBreakBefore w:val="0"/>
        <w:kinsoku/>
        <w:wordWrap/>
        <w:overflowPunct/>
        <w:topLinePunct w:val="0"/>
        <w:autoSpaceDE/>
        <w:autoSpaceDN/>
        <w:bidi w:val="0"/>
        <w:spacing w:line="560" w:lineRule="exact"/>
        <w:ind w:firstLine="642"/>
        <w:textAlignment w:val="auto"/>
        <w:rPr>
          <w:rFonts w:hint="default"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实效指标：三级指标——周一到周五课后2小时，指标值——按时完成。</w:t>
      </w:r>
    </w:p>
    <w:p w14:paraId="584C2C19">
      <w:pPr>
        <w:keepNext w:val="0"/>
        <w:keepLines w:val="0"/>
        <w:pageBreakBefore w:val="0"/>
        <w:kinsoku/>
        <w:wordWrap/>
        <w:overflowPunct/>
        <w:topLinePunct w:val="0"/>
        <w:autoSpaceDE/>
        <w:autoSpaceDN/>
        <w:bidi w:val="0"/>
        <w:spacing w:line="560" w:lineRule="exact"/>
        <w:ind w:firstLine="642"/>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社会效益指标：三级指标——减轻学生家长负担，指标值——有所减轻。</w:t>
      </w:r>
    </w:p>
    <w:p w14:paraId="7B699C80">
      <w:pPr>
        <w:keepNext w:val="0"/>
        <w:keepLines w:val="0"/>
        <w:pageBreakBefore w:val="0"/>
        <w:kinsoku/>
        <w:wordWrap/>
        <w:overflowPunct/>
        <w:topLinePunct w:val="0"/>
        <w:autoSpaceDE/>
        <w:autoSpaceDN/>
        <w:bidi w:val="0"/>
        <w:spacing w:line="560" w:lineRule="exact"/>
        <w:ind w:firstLine="642"/>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可持续影响指标：三级指标——有效“双减”，促进了社会可持续发展，指标值——效果显著。</w:t>
      </w:r>
    </w:p>
    <w:p w14:paraId="58EA3FEF">
      <w:pPr>
        <w:keepNext w:val="0"/>
        <w:keepLines w:val="0"/>
        <w:pageBreakBefore w:val="0"/>
        <w:kinsoku/>
        <w:wordWrap/>
        <w:overflowPunct/>
        <w:topLinePunct w:val="0"/>
        <w:autoSpaceDE/>
        <w:autoSpaceDN/>
        <w:bidi w:val="0"/>
        <w:spacing w:line="560" w:lineRule="exact"/>
        <w:ind w:firstLine="642"/>
        <w:textAlignment w:val="auto"/>
        <w:rPr>
          <w:rFonts w:hint="default"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满意度指标：三级指标——师生满意度，指标值——≧90%。</w:t>
      </w:r>
    </w:p>
    <w:p w14:paraId="0EE62CA2">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kern w:val="0"/>
          <w:sz w:val="32"/>
          <w:szCs w:val="32"/>
        </w:rPr>
        <w:t>二、</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年“三公”经费预算情况说明</w:t>
      </w:r>
    </w:p>
    <w:p w14:paraId="3B23A2CA">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2025</w:t>
      </w:r>
      <w:bookmarkStart w:id="0" w:name="_GoBack"/>
      <w:bookmarkEnd w:id="0"/>
      <w:r>
        <w:rPr>
          <w:rFonts w:hint="eastAsia" w:ascii="仿宋" w:hAnsi="仿宋" w:eastAsia="仿宋" w:cs="仿宋"/>
          <w:kern w:val="2"/>
          <w:sz w:val="32"/>
          <w:szCs w:val="30"/>
          <w:lang w:val="en-US" w:eastAsia="zh-CN"/>
        </w:rPr>
        <w:t>年赣州市南康区第十一中学"三公"经费一般公共预算安排1.54万元，较少年减少0万元，其中：</w:t>
      </w:r>
    </w:p>
    <w:p w14:paraId="1C4A766D">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_GB2312" w:hAnsi="仿宋_GB2312" w:eastAsia="仿宋_GB2312"/>
          <w:sz w:val="32"/>
          <w:szCs w:val="32"/>
          <w:lang w:val="en-US" w:eastAsia="zh-CN"/>
        </w:rPr>
      </w:pPr>
      <w:r>
        <w:rPr>
          <w:rFonts w:hint="eastAsia" w:ascii="仿宋" w:hAnsi="仿宋" w:eastAsia="仿宋" w:cs="仿宋"/>
          <w:kern w:val="2"/>
          <w:sz w:val="32"/>
          <w:szCs w:val="30"/>
          <w:lang w:val="en-US" w:eastAsia="zh-CN"/>
        </w:rPr>
        <w:t>因公出国0万元，比上年增加（减少）0万元，主要原因是：</w:t>
      </w:r>
      <w:r>
        <w:rPr>
          <w:rFonts w:hint="eastAsia" w:ascii="仿宋_GB2312" w:hAnsi="仿宋_GB2312" w:eastAsia="仿宋_GB2312"/>
          <w:sz w:val="32"/>
          <w:szCs w:val="32"/>
          <w:lang w:val="en-US" w:eastAsia="zh-CN"/>
        </w:rPr>
        <w:t>2025年我单位无计划因公出国（境）。</w:t>
      </w:r>
    </w:p>
    <w:p w14:paraId="001D38A3">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公务接待1.54万元，比上年减少0万元，主要原因是：</w:t>
      </w:r>
      <w:r>
        <w:rPr>
          <w:rFonts w:hint="eastAsia" w:ascii="仿宋" w:hAnsi="仿宋" w:eastAsia="仿宋" w:cs="仿宋"/>
          <w:bCs/>
          <w:sz w:val="32"/>
          <w:szCs w:val="32"/>
        </w:rPr>
        <w:t>三公经费预算不超去年预算</w:t>
      </w:r>
      <w:r>
        <w:rPr>
          <w:rFonts w:hint="eastAsia" w:ascii="仿宋" w:hAnsi="仿宋" w:eastAsia="仿宋" w:cs="仿宋"/>
          <w:kern w:val="2"/>
          <w:sz w:val="32"/>
          <w:szCs w:val="30"/>
          <w:lang w:val="en-US" w:eastAsia="zh-CN"/>
        </w:rPr>
        <w:t>。</w:t>
      </w:r>
    </w:p>
    <w:p w14:paraId="16C02206">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公务用车运行0万元，比上年增（减）0万元，主要原因是：</w:t>
      </w:r>
      <w:r>
        <w:rPr>
          <w:rFonts w:hint="eastAsia" w:ascii="仿宋" w:hAnsi="仿宋" w:eastAsia="仿宋" w:cs="仿宋"/>
          <w:bCs/>
          <w:sz w:val="32"/>
          <w:szCs w:val="32"/>
          <w:lang w:eastAsia="zh-CN"/>
        </w:rPr>
        <w:t>无</w:t>
      </w:r>
      <w:r>
        <w:rPr>
          <w:rFonts w:hint="eastAsia" w:ascii="仿宋_GB2312" w:hAnsi="仿宋_GB2312" w:eastAsia="仿宋_GB2312"/>
          <w:sz w:val="32"/>
          <w:szCs w:val="32"/>
        </w:rPr>
        <w:t>公务车辆</w:t>
      </w:r>
      <w:r>
        <w:rPr>
          <w:rFonts w:hint="eastAsia" w:ascii="仿宋" w:hAnsi="仿宋" w:eastAsia="仿宋" w:cs="仿宋"/>
          <w:kern w:val="2"/>
          <w:sz w:val="32"/>
          <w:szCs w:val="30"/>
          <w:lang w:val="en-US" w:eastAsia="zh-CN"/>
        </w:rPr>
        <w:t>。</w:t>
      </w:r>
    </w:p>
    <w:p w14:paraId="2CB59516">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公务用车购置0万元，比上年增（减）0万元，主要原因是：</w:t>
      </w:r>
      <w:r>
        <w:rPr>
          <w:rFonts w:hint="eastAsia" w:ascii="仿宋_GB2312" w:hAnsi="仿宋_GB2312" w:eastAsia="仿宋_GB2312"/>
          <w:sz w:val="32"/>
          <w:szCs w:val="32"/>
        </w:rPr>
        <w:t>202</w:t>
      </w:r>
      <w:r>
        <w:rPr>
          <w:rFonts w:hint="eastAsia" w:ascii="仿宋_GB2312" w:hAnsi="仿宋_GB2312" w:eastAsia="仿宋_GB2312"/>
          <w:sz w:val="32"/>
          <w:szCs w:val="32"/>
          <w:lang w:val="en-US" w:eastAsia="zh-CN"/>
        </w:rPr>
        <w:t>5</w:t>
      </w:r>
      <w:r>
        <w:rPr>
          <w:rFonts w:hint="eastAsia" w:ascii="仿宋_GB2312" w:hAnsi="仿宋_GB2312" w:eastAsia="仿宋_GB2312"/>
          <w:sz w:val="32"/>
          <w:szCs w:val="32"/>
        </w:rPr>
        <w:t>年我单位无计划购置公务车辆</w:t>
      </w:r>
      <w:r>
        <w:rPr>
          <w:rFonts w:hint="eastAsia" w:ascii="仿宋" w:hAnsi="仿宋" w:eastAsia="仿宋" w:cs="仿宋"/>
          <w:kern w:val="2"/>
          <w:sz w:val="32"/>
          <w:szCs w:val="30"/>
          <w:lang w:val="en-US" w:eastAsia="zh-CN"/>
        </w:rPr>
        <w:t>。</w:t>
      </w:r>
    </w:p>
    <w:p w14:paraId="6B719CFD">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14:paraId="618223D8">
      <w:pPr>
        <w:keepNext w:val="0"/>
        <w:keepLines w:val="0"/>
        <w:pageBreakBefore w:val="0"/>
        <w:kinsoku/>
        <w:wordWrap/>
        <w:overflowPunct/>
        <w:topLinePunct w:val="0"/>
        <w:autoSpaceDE/>
        <w:autoSpaceDN/>
        <w:bidi w:val="0"/>
        <w:adjustRightInd w:val="0"/>
        <w:snapToGrid w:val="0"/>
        <w:spacing w:line="520" w:lineRule="exact"/>
        <w:ind w:firstLine="640" w:firstLineChars="200"/>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rPr>
        <w:t>第四部分   名词解释</w:t>
      </w:r>
    </w:p>
    <w:p w14:paraId="5A1391A8">
      <w:pPr>
        <w:keepNext w:val="0"/>
        <w:keepLines w:val="0"/>
        <w:pageBreakBefore w:val="0"/>
        <w:widowControl/>
        <w:shd w:val="clear" w:color="auto" w:fill="FFFFFF"/>
        <w:kinsoku/>
        <w:wordWrap/>
        <w:overflowPunct/>
        <w:topLinePunct w:val="0"/>
        <w:autoSpaceDE/>
        <w:autoSpaceDN/>
        <w:bidi w:val="0"/>
        <w:spacing w:line="520" w:lineRule="exact"/>
        <w:ind w:firstLine="800" w:firstLineChars="250"/>
        <w:jc w:val="left"/>
        <w:textAlignment w:val="auto"/>
        <w:rPr>
          <w:rFonts w:hint="eastAsia" w:ascii="黑体" w:hAnsi="黑体" w:eastAsia="黑体" w:cs="黑体"/>
          <w:b w:val="0"/>
          <w:bCs w:val="0"/>
          <w:sz w:val="32"/>
          <w:szCs w:val="32"/>
        </w:rPr>
      </w:pPr>
    </w:p>
    <w:p w14:paraId="3AB33F51">
      <w:pPr>
        <w:keepNext w:val="0"/>
        <w:keepLines w:val="0"/>
        <w:pageBreakBefore w:val="0"/>
        <w:widowControl/>
        <w:shd w:val="clear" w:color="auto" w:fill="FFFFFF"/>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一、收入科目</w:t>
      </w:r>
    </w:p>
    <w:p w14:paraId="76DF643A">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（一）财政拨款：</w:t>
      </w:r>
      <w:r>
        <w:rPr>
          <w:rFonts w:hint="eastAsia" w:ascii="仿宋" w:hAnsi="仿宋" w:eastAsia="仿宋" w:cs="仿宋"/>
          <w:kern w:val="2"/>
          <w:sz w:val="32"/>
          <w:szCs w:val="30"/>
          <w:lang w:eastAsia="zh-CN"/>
        </w:rPr>
        <w:t>指</w:t>
      </w:r>
      <w:r>
        <w:rPr>
          <w:rFonts w:hint="eastAsia" w:ascii="仿宋" w:hAnsi="仿宋" w:eastAsia="仿宋" w:cs="仿宋"/>
          <w:kern w:val="2"/>
          <w:sz w:val="32"/>
          <w:szCs w:val="30"/>
          <w:lang w:val="en-US" w:eastAsia="zh-CN"/>
        </w:rPr>
        <w:t>市</w:t>
      </w:r>
      <w:r>
        <w:rPr>
          <w:rFonts w:hint="eastAsia" w:ascii="仿宋" w:hAnsi="仿宋" w:eastAsia="仿宋" w:cs="仿宋"/>
          <w:kern w:val="2"/>
          <w:sz w:val="32"/>
          <w:szCs w:val="30"/>
          <w:lang w:eastAsia="zh-CN"/>
        </w:rPr>
        <w:t>级财政当年拨付的资金。</w:t>
      </w:r>
    </w:p>
    <w:p w14:paraId="7199136E">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（二）教育收费资金收入：</w:t>
      </w:r>
      <w:r>
        <w:rPr>
          <w:rFonts w:hint="eastAsia" w:ascii="仿宋" w:hAnsi="仿宋" w:eastAsia="仿宋" w:cs="仿宋"/>
          <w:kern w:val="2"/>
          <w:sz w:val="32"/>
          <w:szCs w:val="30"/>
          <w:lang w:eastAsia="zh-CN"/>
        </w:rPr>
        <w:t>反映实行专项管理的高中以上学费、住宿费，高校委托培养费、短训班培训费等教育收费取得的收入。</w:t>
      </w:r>
    </w:p>
    <w:p w14:paraId="1ABA6C2D">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（三）事业收入：</w:t>
      </w:r>
      <w:r>
        <w:rPr>
          <w:rFonts w:hint="eastAsia" w:ascii="仿宋" w:hAnsi="仿宋" w:eastAsia="仿宋" w:cs="仿宋"/>
          <w:kern w:val="2"/>
          <w:sz w:val="32"/>
          <w:szCs w:val="30"/>
          <w:lang w:eastAsia="zh-CN"/>
        </w:rPr>
        <w:t>指事业单位开展专业业务活动及辅助活动取得的收入。</w:t>
      </w:r>
    </w:p>
    <w:p w14:paraId="7F6B97D2">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（四）事业单位经营收入：</w:t>
      </w:r>
      <w:r>
        <w:rPr>
          <w:rFonts w:hint="eastAsia" w:ascii="仿宋" w:hAnsi="仿宋" w:eastAsia="仿宋" w:cs="仿宋"/>
          <w:kern w:val="2"/>
          <w:sz w:val="32"/>
          <w:szCs w:val="30"/>
          <w:lang w:eastAsia="zh-CN"/>
        </w:rPr>
        <w:t>指事业单位在专业业务活动及辅助活动之外开展非独立核算经营活动取得的收入。</w:t>
      </w:r>
    </w:p>
    <w:p w14:paraId="03637B08">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（五）附属单位上缴收入：</w:t>
      </w:r>
      <w:r>
        <w:rPr>
          <w:rFonts w:hint="eastAsia" w:ascii="仿宋" w:hAnsi="仿宋" w:eastAsia="仿宋" w:cs="仿宋"/>
          <w:kern w:val="2"/>
          <w:sz w:val="32"/>
          <w:szCs w:val="30"/>
          <w:lang w:eastAsia="zh-CN"/>
        </w:rPr>
        <w:t>反映事业单位附属的独立核算单位按规定标准或比例缴纳的各项收入。包括附属的事业单位上缴的收入和附属的企业上缴的利润等。</w:t>
      </w:r>
    </w:p>
    <w:p w14:paraId="7DEFA652">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（六）上级补助收入：</w:t>
      </w:r>
      <w:r>
        <w:rPr>
          <w:rFonts w:hint="eastAsia" w:ascii="仿宋" w:hAnsi="仿宋" w:eastAsia="仿宋" w:cs="仿宋"/>
          <w:kern w:val="2"/>
          <w:sz w:val="32"/>
          <w:szCs w:val="30"/>
          <w:lang w:eastAsia="zh-CN"/>
        </w:rPr>
        <w:t>反映事业单位从主管部门和上级单位取得的非财政补助收入。</w:t>
      </w:r>
    </w:p>
    <w:p w14:paraId="312470A4">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（七）其他收入：</w:t>
      </w:r>
      <w:r>
        <w:rPr>
          <w:rFonts w:hint="eastAsia" w:ascii="仿宋" w:hAnsi="仿宋" w:eastAsia="仿宋" w:cs="仿宋"/>
          <w:kern w:val="2"/>
          <w:sz w:val="32"/>
          <w:szCs w:val="30"/>
          <w:lang w:eastAsia="zh-CN"/>
        </w:rPr>
        <w:t>指除财政拨款、事业收入、事业单位经营收入等以外的各项收入。</w:t>
      </w:r>
    </w:p>
    <w:p w14:paraId="79956B3D">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（八）上年结转和结余</w:t>
      </w:r>
      <w:r>
        <w:rPr>
          <w:rFonts w:hint="eastAsia" w:ascii="仿宋" w:hAnsi="仿宋" w:eastAsia="仿宋" w:cs="仿宋"/>
          <w:kern w:val="2"/>
          <w:sz w:val="32"/>
          <w:szCs w:val="30"/>
          <w:lang w:eastAsia="zh-CN"/>
        </w:rPr>
        <w:t>：填列202</w:t>
      </w:r>
      <w:r>
        <w:rPr>
          <w:rFonts w:hint="eastAsia" w:ascii="仿宋" w:hAnsi="仿宋" w:eastAsia="仿宋" w:cs="仿宋"/>
          <w:kern w:val="2"/>
          <w:sz w:val="32"/>
          <w:szCs w:val="30"/>
          <w:lang w:val="en-US" w:eastAsia="zh-CN"/>
        </w:rPr>
        <w:t>3</w:t>
      </w:r>
      <w:r>
        <w:rPr>
          <w:rFonts w:hint="eastAsia" w:ascii="仿宋" w:hAnsi="仿宋" w:eastAsia="仿宋" w:cs="仿宋"/>
          <w:kern w:val="2"/>
          <w:sz w:val="32"/>
          <w:szCs w:val="30"/>
          <w:lang w:eastAsia="zh-CN"/>
        </w:rPr>
        <w:t>年全部结转和结余的资金数，包括当年结转结余资金和历年滚存结转结余资金。</w:t>
      </w:r>
    </w:p>
    <w:p w14:paraId="0ED3AD8E">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二、支出科目</w:t>
      </w:r>
    </w:p>
    <w:p w14:paraId="45949D35">
      <w:pPr>
        <w:widowControl/>
        <w:spacing w:line="600" w:lineRule="exact"/>
        <w:ind w:firstLine="640" w:firstLineChars="200"/>
        <w:jc w:val="left"/>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（一）事业运行：反映事业单位的基本支出。</w:t>
      </w:r>
    </w:p>
    <w:p w14:paraId="13DA7606">
      <w:pPr>
        <w:widowControl/>
        <w:spacing w:line="600" w:lineRule="exact"/>
        <w:ind w:firstLine="640" w:firstLineChars="200"/>
        <w:jc w:val="left"/>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（二）机关事业单位基本养老保险缴费支出：反映机关事业单位实施养老保险制度由单位缴纳的基本养老保险费的支出。</w:t>
      </w:r>
    </w:p>
    <w:p w14:paraId="60FEFEF3">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三、部门涉及的专业名词</w:t>
      </w:r>
    </w:p>
    <w:p w14:paraId="2C719C1F">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FF0000"/>
          <w:kern w:val="2"/>
          <w:sz w:val="32"/>
          <w:szCs w:val="30"/>
          <w:lang w:eastAsia="zh-CN"/>
        </w:rPr>
      </w:pPr>
      <w:r>
        <w:rPr>
          <w:rFonts w:hint="eastAsia" w:ascii="仿宋" w:hAnsi="仿宋" w:eastAsia="仿宋" w:cs="仿宋"/>
          <w:color w:val="000000"/>
          <w:kern w:val="2"/>
          <w:sz w:val="32"/>
          <w:szCs w:val="30"/>
          <w:lang w:val="en-US" w:eastAsia="zh-CN" w:bidi="ar-SA"/>
        </w:rPr>
        <w:t>无。</w:t>
      </w:r>
    </w:p>
    <w:p w14:paraId="531643E6">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14:paraId="20D0805B">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sectPr>
      <w:headerReference r:id="rId3" w:type="default"/>
      <w:footerReference r:id="rId4" w:type="default"/>
      <w:footerReference r:id="rId5" w:type="even"/>
      <w:pgSz w:w="11906" w:h="16838"/>
      <w:pgMar w:top="1701" w:right="1797" w:bottom="1701" w:left="1797" w:header="851" w:footer="85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EE150">
    <w:pPr>
      <w:pStyle w:val="2"/>
      <w:wordWrap w:val="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304241">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C304241">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p w14:paraId="4D6A1534">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D9689">
    <w:pPr>
      <w:pStyle w:val="2"/>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14:paraId="00545073">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B4DDB">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30052C"/>
    <w:multiLevelType w:val="singleLevel"/>
    <w:tmpl w:val="9530052C"/>
    <w:lvl w:ilvl="0" w:tentative="0">
      <w:start w:val="1"/>
      <w:numFmt w:val="chineseCounting"/>
      <w:suff w:val="nothing"/>
      <w:lvlText w:val="%1、"/>
      <w:lvlJc w:val="left"/>
      <w:rPr>
        <w:rFonts w:hint="eastAsia"/>
      </w:rPr>
    </w:lvl>
  </w:abstractNum>
  <w:abstractNum w:abstractNumId="1">
    <w:nsid w:val="A8474E38"/>
    <w:multiLevelType w:val="singleLevel"/>
    <w:tmpl w:val="A8474E38"/>
    <w:lvl w:ilvl="0" w:tentative="0">
      <w:start w:val="1"/>
      <w:numFmt w:val="chineseCounting"/>
      <w:suff w:val="nothing"/>
      <w:lvlText w:val="（%1）"/>
      <w:lvlJc w:val="left"/>
      <w:rPr>
        <w:rFonts w:hint="eastAsia"/>
      </w:rPr>
    </w:lvl>
  </w:abstractNum>
  <w:abstractNum w:abstractNumId="2">
    <w:nsid w:val="08E7F732"/>
    <w:multiLevelType w:val="singleLevel"/>
    <w:tmpl w:val="08E7F732"/>
    <w:lvl w:ilvl="0" w:tentative="0">
      <w:start w:val="9"/>
      <w:numFmt w:val="chineseCounting"/>
      <w:suff w:val="nothing"/>
      <w:lvlText w:val="（%1）"/>
      <w:lvlJc w:val="left"/>
      <w:rPr>
        <w:rFonts w:hint="eastAsia"/>
      </w:rPr>
    </w:lvl>
  </w:abstractNum>
  <w:abstractNum w:abstractNumId="3">
    <w:nsid w:val="79366688"/>
    <w:multiLevelType w:val="singleLevel"/>
    <w:tmpl w:val="79366688"/>
    <w:lvl w:ilvl="0" w:tentative="0">
      <w:start w:val="4"/>
      <w:numFmt w:val="chineseCounting"/>
      <w:suff w:val="space"/>
      <w:lvlText w:val="第%1部分"/>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zODk3ZWU2M2E1ZmQ1ZTI0MzlmMTY5MzEyNjViMDAifQ=="/>
  </w:docVars>
  <w:rsids>
    <w:rsidRoot w:val="216B3C95"/>
    <w:rsid w:val="02595E65"/>
    <w:rsid w:val="033856D9"/>
    <w:rsid w:val="03897B89"/>
    <w:rsid w:val="06637E8B"/>
    <w:rsid w:val="0781151E"/>
    <w:rsid w:val="084B5B3C"/>
    <w:rsid w:val="09B361AA"/>
    <w:rsid w:val="0DCE3C4C"/>
    <w:rsid w:val="0E6E4D6B"/>
    <w:rsid w:val="10265AFA"/>
    <w:rsid w:val="128D3DF0"/>
    <w:rsid w:val="12F0682B"/>
    <w:rsid w:val="142C636E"/>
    <w:rsid w:val="18A76CF6"/>
    <w:rsid w:val="1A077661"/>
    <w:rsid w:val="1A6B1489"/>
    <w:rsid w:val="1AA1373B"/>
    <w:rsid w:val="1B2236A6"/>
    <w:rsid w:val="1D9D39A7"/>
    <w:rsid w:val="20D02B5C"/>
    <w:rsid w:val="216B3C95"/>
    <w:rsid w:val="250D59BB"/>
    <w:rsid w:val="29E93C33"/>
    <w:rsid w:val="2B485D2C"/>
    <w:rsid w:val="2D9F180A"/>
    <w:rsid w:val="2ED52685"/>
    <w:rsid w:val="2F13103C"/>
    <w:rsid w:val="3077134E"/>
    <w:rsid w:val="30DD75CF"/>
    <w:rsid w:val="350332E7"/>
    <w:rsid w:val="361F021D"/>
    <w:rsid w:val="36673D11"/>
    <w:rsid w:val="368C578D"/>
    <w:rsid w:val="377E58E4"/>
    <w:rsid w:val="3A331955"/>
    <w:rsid w:val="3B494C13"/>
    <w:rsid w:val="3C635260"/>
    <w:rsid w:val="3DF70612"/>
    <w:rsid w:val="3ECD4126"/>
    <w:rsid w:val="3F8A2AD8"/>
    <w:rsid w:val="43133F6A"/>
    <w:rsid w:val="4D0752F7"/>
    <w:rsid w:val="4E56371B"/>
    <w:rsid w:val="4ED410CC"/>
    <w:rsid w:val="4EF13E61"/>
    <w:rsid w:val="50622BE2"/>
    <w:rsid w:val="51D5400B"/>
    <w:rsid w:val="52A26319"/>
    <w:rsid w:val="55700D91"/>
    <w:rsid w:val="59195066"/>
    <w:rsid w:val="598F4A10"/>
    <w:rsid w:val="5E977E16"/>
    <w:rsid w:val="5F606A89"/>
    <w:rsid w:val="691507DE"/>
    <w:rsid w:val="6BCC2FDC"/>
    <w:rsid w:val="6E7A2103"/>
    <w:rsid w:val="709211AC"/>
    <w:rsid w:val="72084591"/>
    <w:rsid w:val="72F079F1"/>
    <w:rsid w:val="733F28AB"/>
    <w:rsid w:val="76A038F3"/>
    <w:rsid w:val="79B25EDD"/>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99"/>
    <w:pPr>
      <w:tabs>
        <w:tab w:val="center" w:pos="4153"/>
        <w:tab w:val="right" w:pos="8306"/>
      </w:tabs>
      <w:snapToGrid w:val="0"/>
      <w:jc w:val="left"/>
    </w:pPr>
    <w:rPr>
      <w:sz w:val="18"/>
      <w:szCs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p0"/>
    <w:basedOn w:val="1"/>
    <w:autoRedefine/>
    <w:qFormat/>
    <w:uiPriority w:val="0"/>
    <w:pPr>
      <w:widowControl/>
    </w:pPr>
    <w:rPr>
      <w:rFonts w:ascii="Times New Roman" w:hAnsi="Times New Roman" w:eastAsia="宋体" w:cs="Times New Roman"/>
      <w:kern w:val="0"/>
      <w:szCs w:val="21"/>
    </w:rPr>
  </w:style>
  <w:style w:type="character" w:customStyle="1" w:styleId="7">
    <w:name w:val="row_tree_level_4"/>
    <w:basedOn w:val="5"/>
    <w:autoRedefine/>
    <w:qFormat/>
    <w:uiPriority w:val="0"/>
  </w:style>
  <w:style w:type="character" w:customStyle="1" w:styleId="8">
    <w:name w:val="font31"/>
    <w:basedOn w:val="5"/>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3315</Words>
  <Characters>3565</Characters>
  <Lines>0</Lines>
  <Paragraphs>0</Paragraphs>
  <TotalTime>5</TotalTime>
  <ScaleCrop>false</ScaleCrop>
  <LinksUpToDate>false</LinksUpToDate>
  <CharactersWithSpaces>3590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2022-09-15T02:24:00Z</dcterms:created>
  <dc:creator>Administrator</dc:creator>
  <cp:lastModifiedBy>若如晨风</cp:lastModifiedBy>
  <cp:lastPrinted>2024-02-19T02:53:00Z</cp:lastPrinted>
  <dcterms:modified xsi:type="dcterms:W3CDTF">2025-02-07T09:57:38Z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6177370B57F84BC9B45CB4B3B960D8B1</vt:lpwstr>
  </property>
  <property fmtid="{D5CDD505-2E9C-101B-9397-08002B2CF9AE}" pid="4" name="KSOTemplateDocerSaveRecord">
    <vt:lpwstr>eyJoZGlkIjoiNWMxNGFlOTJmY2IyNjNiNDU4ZjU3ODk1NmNiNGNkMzAiLCJ1c2VySWQiOiI0MTUwNjEyMTQifQ==</vt:lpwstr>
  </property>
</Properties>
</file>