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康</w:t>
      </w:r>
      <w:r>
        <w:rPr>
          <w:rFonts w:hint="eastAsia" w:ascii="仿宋_GB2312" w:eastAsia="仿宋_GB2312"/>
          <w:color w:val="auto"/>
          <w:sz w:val="32"/>
          <w:szCs w:val="32"/>
          <w:lang w:eastAsia="zh-CN"/>
        </w:rPr>
        <w:t>应急</w:t>
      </w:r>
      <w:r>
        <w:rPr>
          <w:rFonts w:hint="eastAsia" w:ascii="仿宋_GB2312" w:eastAsia="仿宋_GB2312"/>
          <w:color w:val="auto"/>
          <w:sz w:val="32"/>
          <w:szCs w:val="32"/>
        </w:rPr>
        <w:t>字〔20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color w:val="auto"/>
        </w:rPr>
      </w:pPr>
      <w:bookmarkStart w:id="0" w:name="_GoBack"/>
      <w:r>
        <w:rPr>
          <w:rFonts w:hint="eastAsia" w:ascii="方正小标宋简体" w:eastAsia="方正小标宋简体"/>
          <w:color w:val="auto"/>
          <w:sz w:val="44"/>
          <w:szCs w:val="44"/>
        </w:rPr>
        <w:t>南康区</w:t>
      </w:r>
      <w:r>
        <w:rPr>
          <w:rFonts w:hint="eastAsia" w:ascii="方正小标宋简体" w:eastAsia="方正小标宋简体"/>
          <w:color w:val="auto"/>
          <w:sz w:val="44"/>
          <w:szCs w:val="44"/>
          <w:lang w:eastAsia="zh-CN"/>
        </w:rPr>
        <w:t>应急管理局</w:t>
      </w:r>
      <w:r>
        <w:rPr>
          <w:rFonts w:hint="eastAsia" w:ascii="方正小标宋简体" w:eastAsia="方正小标宋简体"/>
          <w:color w:val="auto"/>
          <w:sz w:val="44"/>
          <w:szCs w:val="44"/>
        </w:rPr>
        <w:t>关于</w:t>
      </w:r>
      <w:r>
        <w:rPr>
          <w:rFonts w:hint="eastAsia" w:ascii="方正小标宋简体" w:hAnsi="方正小标宋简体" w:eastAsia="方正小标宋简体" w:cs="方正小标宋简体"/>
          <w:color w:val="auto"/>
          <w:kern w:val="0"/>
          <w:sz w:val="43"/>
          <w:szCs w:val="43"/>
          <w:lang w:val="en-US" w:eastAsia="zh-CN" w:bidi="ar"/>
        </w:rPr>
        <w:t>印发《2022年度安全生产监督检查计划》等三个计划的通知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仿宋_GB2312"/>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color w:val="auto"/>
        </w:rPr>
      </w:pPr>
      <w:r>
        <w:rPr>
          <w:rFonts w:hint="eastAsia" w:ascii="仿宋_GB2312" w:eastAsia="仿宋_GB2312"/>
          <w:color w:val="auto"/>
          <w:sz w:val="32"/>
          <w:szCs w:val="32"/>
        </w:rPr>
        <w:t>各</w:t>
      </w:r>
      <w:r>
        <w:rPr>
          <w:rFonts w:hint="eastAsia" w:ascii="仿宋_GB2312" w:eastAsia="仿宋_GB2312"/>
          <w:color w:val="auto"/>
          <w:sz w:val="32"/>
          <w:szCs w:val="32"/>
          <w:lang w:eastAsia="zh-CN"/>
        </w:rPr>
        <w:t>股</w:t>
      </w:r>
      <w:r>
        <w:rPr>
          <w:rFonts w:hint="eastAsia" w:ascii="仿宋_GB2312" w:eastAsia="仿宋_GB2312"/>
          <w:color w:val="auto"/>
          <w:sz w:val="32"/>
          <w:szCs w:val="32"/>
        </w:rPr>
        <w:t>室、</w:t>
      </w:r>
      <w:r>
        <w:rPr>
          <w:rFonts w:hint="eastAsia" w:ascii="仿宋_GB2312" w:eastAsia="仿宋_GB2312"/>
          <w:color w:val="auto"/>
          <w:sz w:val="32"/>
          <w:szCs w:val="32"/>
          <w:lang w:eastAsia="zh-CN"/>
        </w:rPr>
        <w:t>区应急管理综合行政</w:t>
      </w:r>
      <w:r>
        <w:rPr>
          <w:rFonts w:hint="eastAsia" w:ascii="仿宋_GB2312" w:eastAsia="仿宋_GB2312"/>
          <w:color w:val="auto"/>
          <w:sz w:val="32"/>
          <w:szCs w:val="32"/>
        </w:rPr>
        <w:t>执法大队</w:t>
      </w:r>
      <w:r>
        <w:rPr>
          <w:rFonts w:hint="eastAsia" w:ascii="仿宋_GB2312" w:eastAsia="仿宋_GB2312"/>
          <w:color w:val="auto"/>
          <w:sz w:val="32"/>
          <w:szCs w:val="32"/>
          <w:lang w:eastAsia="zh-CN"/>
        </w:rPr>
        <w:t>、区防灾减灾中心</w:t>
      </w:r>
      <w:r>
        <w:rPr>
          <w:rFonts w:hint="eastAsia" w:ascii="仿宋_GB2312" w:eastAsia="仿宋_GB2312"/>
          <w:color w:val="auto"/>
          <w:sz w:val="32"/>
          <w:szCs w:val="32"/>
        </w:rPr>
        <w:t>:</w:t>
      </w:r>
      <w:r>
        <w:rPr>
          <w:rFonts w:hint="eastAsia" w:ascii="仿宋_GB2312" w:hAnsi="宋体" w:eastAsia="仿宋_GB2312" w:cs="仿宋_GB2312"/>
          <w:color w:val="auto"/>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 xml:space="preserve">现将《2022年度安全生产监督检查计划》《2022年度防灾救灾监督检查计划》《2022年度综合行政执法监督计划》印发给你们，请认真贯彻执行。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仿宋_GB2312"/>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4030" w:firstLineChars="1300"/>
        <w:jc w:val="left"/>
        <w:textAlignment w:val="auto"/>
        <w:rPr>
          <w:color w:val="auto"/>
        </w:rPr>
      </w:pPr>
      <w:r>
        <w:rPr>
          <w:rFonts w:hint="eastAsia" w:ascii="仿宋_GB2312" w:hAnsi="宋体" w:eastAsia="仿宋_GB2312" w:cs="仿宋_GB2312"/>
          <w:color w:val="auto"/>
          <w:kern w:val="0"/>
          <w:sz w:val="31"/>
          <w:szCs w:val="31"/>
          <w:lang w:val="en-US" w:eastAsia="zh-CN" w:bidi="ar"/>
        </w:rPr>
        <w:t>赣州市南康区应急管理局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650" w:firstLineChars="1500"/>
        <w:jc w:val="left"/>
        <w:textAlignment w:val="auto"/>
        <w:rPr>
          <w:color w:val="auto"/>
        </w:rPr>
      </w:pPr>
      <w:r>
        <w:rPr>
          <w:rFonts w:hint="eastAsia" w:ascii="仿宋_GB2312" w:hAnsi="宋体" w:eastAsia="仿宋_GB2312" w:cs="仿宋_GB2312"/>
          <w:color w:val="auto"/>
          <w:kern w:val="0"/>
          <w:sz w:val="31"/>
          <w:szCs w:val="31"/>
          <w:lang w:val="en-US" w:eastAsia="zh-CN" w:bidi="ar"/>
        </w:rPr>
        <w:t>2022 年3月3日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新宋体" w:hAnsi="新宋体" w:eastAsia="新宋体" w:cs="新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新宋体" w:hAnsi="新宋体" w:eastAsia="新宋体" w:cs="新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新宋体" w:hAnsi="新宋体" w:eastAsia="新宋体" w:cs="新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color w:val="auto"/>
        </w:rPr>
      </w:pPr>
      <w:r>
        <w:rPr>
          <w:rFonts w:hint="eastAsia" w:ascii="方正小标宋简体" w:hAnsi="方正小标宋简体" w:eastAsia="方正小标宋简体" w:cs="方正小标宋简体"/>
          <w:color w:val="auto"/>
          <w:kern w:val="0"/>
          <w:sz w:val="43"/>
          <w:szCs w:val="43"/>
          <w:lang w:val="en-US" w:eastAsia="zh-CN" w:bidi="ar"/>
        </w:rPr>
        <w:t>2022年度安全生产监督检查计划</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仿宋_GB2312"/>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为进一步加强我区安全生产监管执法，促进生产经营单位安全生产主体责任落实，切实规范安全生产监督检查行为，提升监管执法效能,根据《安全生产法》《江西省安全生产条例》《安全生产监管监察职责和行政执法责任追究的暂行规定》（原国家安全监管总局令第24号）等相关规定，按照《安全生产年度监督检查计划编制办法》（安监总政法〔2017〕150号）和《关于深化应急管理综合行政执法改革的实施方案》（赣办发〔2021〕19号）</w:t>
      </w:r>
      <w:r>
        <w:rPr>
          <w:rFonts w:hint="eastAsia" w:ascii="仿宋_GB2312" w:hAnsi="仿宋_GB2312" w:eastAsia="仿宋_GB2312" w:cs="仿宋_GB2312"/>
          <w:b w:val="0"/>
          <w:bCs w:val="0"/>
          <w:color w:val="auto"/>
          <w:kern w:val="0"/>
          <w:sz w:val="32"/>
          <w:szCs w:val="32"/>
          <w:lang w:val="en-US" w:eastAsia="zh-CN" w:bidi="ar"/>
        </w:rPr>
        <w:t>《江西省应急管理厅办公室关于做好2022年度全省安全生产监督检查计划编制工作的通知》</w:t>
      </w:r>
      <w:r>
        <w:rPr>
          <w:rFonts w:hint="eastAsia" w:ascii="仿宋_GB2312" w:hAnsi="宋体" w:eastAsia="仿宋_GB2312" w:cs="仿宋_GB2312"/>
          <w:color w:val="auto"/>
          <w:kern w:val="0"/>
          <w:sz w:val="31"/>
          <w:szCs w:val="31"/>
          <w:lang w:val="en-US" w:eastAsia="zh-CN" w:bidi="ar"/>
        </w:rPr>
        <w:t xml:space="preserve">等要求，结合我区安全生产工作实际，制定南康区应急管理局2022年度安全生产监督检查计划。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ascii="黑体" w:hAnsi="宋体" w:eastAsia="黑体" w:cs="黑体"/>
          <w:color w:val="auto"/>
          <w:kern w:val="0"/>
          <w:sz w:val="31"/>
          <w:szCs w:val="31"/>
          <w:lang w:val="en-US" w:eastAsia="zh-CN" w:bidi="ar"/>
        </w:rPr>
        <w:t xml:space="preserve">一、指导思想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以习近平新时代中国特色社会主义思想为指导，深入学习贯彻党的十九大和十九届历次全会精神，深入贯彻落实习近平法治思想和关于应急管理重要论述以及视察江西重要讲话精神，全面贯彻省第十五次党代会精神和区委、区政府决策部署，通过有序实施年度安全生产监督检查计划，聚力打好安全生产专项整治三年行动“巩固提升”攻坚战，扎实开展应急管理综合行政执法集中行动，推进严格规范公正文明精准执法，坚决遏制重特大事故的发生，为南康经济社会发展创造良好安全环境，以优异成绩迎接党的二十大胜利召开。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0"/>
        <w:jc w:val="both"/>
        <w:textAlignment w:val="auto"/>
        <w:rPr>
          <w:rFonts w:hint="eastAsia" w:ascii="黑体" w:hAnsi="宋体" w:eastAsia="黑体" w:cs="黑体"/>
          <w:color w:val="auto"/>
          <w:kern w:val="0"/>
          <w:sz w:val="31"/>
          <w:szCs w:val="31"/>
          <w:lang w:val="en-US" w:eastAsia="zh-CN" w:bidi="ar"/>
        </w:rPr>
      </w:pPr>
      <w:r>
        <w:rPr>
          <w:rFonts w:hint="eastAsia" w:ascii="黑体" w:hAnsi="宋体" w:eastAsia="黑体" w:cs="黑体"/>
          <w:color w:val="auto"/>
          <w:kern w:val="0"/>
          <w:sz w:val="31"/>
          <w:szCs w:val="31"/>
          <w:lang w:val="en-US" w:eastAsia="zh-CN" w:bidi="ar"/>
        </w:rPr>
        <w:t xml:space="preserve">二、工作目标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0"/>
        <w:jc w:val="both"/>
        <w:textAlignment w:val="auto"/>
        <w:rPr>
          <w:color w:val="auto"/>
        </w:rPr>
      </w:pPr>
      <w:r>
        <w:rPr>
          <w:rFonts w:hint="eastAsia" w:ascii="仿宋_GB2312" w:eastAsia="仿宋_GB2312" w:cs="仿宋_GB2312" w:hAnsiTheme="minorHAnsi"/>
          <w:color w:val="auto"/>
          <w:kern w:val="2"/>
          <w:sz w:val="31"/>
          <w:szCs w:val="31"/>
          <w:lang w:val="en-US" w:eastAsia="zh-CN" w:bidi="ar-SA"/>
        </w:rPr>
        <w:t>区应急管理局开展的安全生产监督检查（含日常监督检查和专项监督检查）全部纳入计划安排，综合督查、调研指导等其他行政检查工作不纳入监督检查计划安排。</w:t>
      </w:r>
      <w:r>
        <w:rPr>
          <w:rFonts w:hint="eastAsia" w:ascii="仿宋_GB2312" w:eastAsia="仿宋_GB2312" w:cs="仿宋_GB2312"/>
          <w:color w:val="auto"/>
          <w:kern w:val="2"/>
          <w:sz w:val="31"/>
          <w:szCs w:val="31"/>
          <w:lang w:val="en-US" w:eastAsia="zh-CN" w:bidi="ar-SA"/>
        </w:rPr>
        <w:t>按照</w:t>
      </w:r>
      <w:r>
        <w:rPr>
          <w:rFonts w:hint="eastAsia" w:ascii="仿宋_GB2312" w:eastAsia="仿宋_GB2312" w:cs="仿宋_GB2312" w:hAnsiTheme="minorHAnsi"/>
          <w:color w:val="auto"/>
          <w:kern w:val="2"/>
          <w:sz w:val="31"/>
          <w:szCs w:val="31"/>
          <w:lang w:val="en-US" w:eastAsia="zh-CN" w:bidi="ar-SA"/>
        </w:rPr>
        <w:t>属地为主、分级分类的要求，对区应急管理局日常监督检查计划的重点生产经营单位监督检查覆盖率100%，对一般生产经营单位按照不低于</w:t>
      </w:r>
      <w:r>
        <w:rPr>
          <w:rFonts w:hint="eastAsia" w:ascii="仿宋_GB2312" w:eastAsia="仿宋_GB2312" w:cs="仿宋_GB2312"/>
          <w:color w:val="auto"/>
          <w:kern w:val="2"/>
          <w:sz w:val="31"/>
          <w:szCs w:val="31"/>
          <w:lang w:val="en-US" w:eastAsia="zh-CN" w:bidi="ar-SA"/>
        </w:rPr>
        <w:t>6</w:t>
      </w:r>
      <w:r>
        <w:rPr>
          <w:rFonts w:hint="eastAsia" w:ascii="仿宋_GB2312" w:eastAsia="仿宋_GB2312" w:cs="仿宋_GB2312" w:hAnsiTheme="minorHAnsi"/>
          <w:color w:val="auto"/>
          <w:kern w:val="2"/>
          <w:sz w:val="31"/>
          <w:szCs w:val="31"/>
          <w:lang w:val="en-US" w:eastAsia="zh-CN" w:bidi="ar-SA"/>
        </w:rPr>
        <w:t>0%的抽查比例实施有针对性的“双随机</w:t>
      </w:r>
      <w:r>
        <w:rPr>
          <w:rFonts w:hint="eastAsia" w:ascii="仿宋_GB2312" w:eastAsia="仿宋_GB2312" w:cs="仿宋_GB2312"/>
          <w:color w:val="auto"/>
          <w:kern w:val="2"/>
          <w:sz w:val="31"/>
          <w:szCs w:val="31"/>
          <w:lang w:val="en-US" w:eastAsia="zh-CN" w:bidi="ar-SA"/>
        </w:rPr>
        <w:t>、</w:t>
      </w:r>
      <w:r>
        <w:rPr>
          <w:rFonts w:hint="eastAsia" w:ascii="仿宋_GB2312" w:eastAsia="仿宋_GB2312" w:cs="仿宋_GB2312" w:hAnsiTheme="minorHAnsi"/>
          <w:color w:val="auto"/>
          <w:kern w:val="2"/>
          <w:sz w:val="31"/>
          <w:szCs w:val="31"/>
          <w:lang w:val="en-US" w:eastAsia="zh-CN" w:bidi="ar-SA"/>
        </w:rPr>
        <w:t>一公开”监督检查，实现年度监督检查计划完成率100%，执法检查发现事故隐患的整改率100%、事故隐患按期复查率100%、已查实违法行为查处率100%、行政执法“三项制度”执行率100%。通过精准实施监督检查，严厉打击各类安全生产违法违规行为，督促生产经营单位严格落实安全生产主体责任，推</w:t>
      </w:r>
      <w:r>
        <w:rPr>
          <w:rFonts w:hint="eastAsia" w:ascii="仿宋_GB2312" w:hAnsi="宋体" w:eastAsia="仿宋_GB2312" w:cs="仿宋_GB2312"/>
          <w:color w:val="auto"/>
          <w:kern w:val="0"/>
          <w:sz w:val="31"/>
          <w:szCs w:val="31"/>
          <w:lang w:val="en-US" w:eastAsia="zh-CN" w:bidi="ar"/>
        </w:rPr>
        <w:t xml:space="preserve">动全区生产安全事故起数和死亡人数继续下降。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三、日常监督检查计划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 xml:space="preserve">（一）行政执法人员数量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2022年，纳入区应急管理局安全生产日常监督检查计划的监管股室及下属单位为安全生产监督管理股、危险化学品安全监督管理股、宣传教育和预案管理股、</w:t>
      </w:r>
      <w:r>
        <w:rPr>
          <w:rFonts w:hint="eastAsia" w:ascii="仿宋_GB2312" w:eastAsia="仿宋_GB2312"/>
          <w:color w:val="auto"/>
          <w:sz w:val="32"/>
          <w:szCs w:val="32"/>
          <w:lang w:eastAsia="zh-CN"/>
        </w:rPr>
        <w:t>区应急管理综合行政</w:t>
      </w:r>
      <w:r>
        <w:rPr>
          <w:rFonts w:hint="eastAsia" w:ascii="仿宋_GB2312" w:eastAsia="仿宋_GB2312"/>
          <w:color w:val="auto"/>
          <w:sz w:val="32"/>
          <w:szCs w:val="32"/>
        </w:rPr>
        <w:t>执法大队</w:t>
      </w:r>
      <w:r>
        <w:rPr>
          <w:rFonts w:hint="eastAsia" w:ascii="仿宋_GB2312" w:hAnsi="宋体" w:eastAsia="仿宋_GB2312" w:cs="仿宋_GB2312"/>
          <w:color w:val="auto"/>
          <w:kern w:val="0"/>
          <w:sz w:val="31"/>
          <w:szCs w:val="31"/>
          <w:lang w:val="en-US" w:eastAsia="zh-CN" w:bidi="ar"/>
        </w:rPr>
        <w:t xml:space="preserve">，行政执法人员共12人。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 xml:space="preserve">（二）日常监督检查工作日测算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1.总法定工作日:总法定工作日=国家法定工作日（248）×执法人员数量（12）=2976个工作日；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2.其他执法工作日:1600个工作日；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3.非执法工作日:776个工作日；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4.监督检查工作日:600 个工作日。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 xml:space="preserve">（三）监督检查对象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按照属地为主、分级分类的要求，列入区应急管理局2022 年度日常监督检查计划的企业共502家（具体名单见附件），其中，重点检查企业63家，一般检查企业439家。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1.重点监督检查范围：</w:t>
      </w:r>
      <w:r>
        <w:rPr>
          <w:rFonts w:hint="eastAsia" w:ascii="仿宋_GB2312" w:hAnsi="宋体" w:eastAsia="仿宋_GB2312" w:cs="仿宋_GB2312"/>
          <w:color w:val="auto"/>
          <w:kern w:val="0"/>
          <w:sz w:val="31"/>
          <w:szCs w:val="31"/>
          <w:lang w:val="en-US" w:eastAsia="zh-CN" w:bidi="ar"/>
        </w:rPr>
        <w:t xml:space="preserve">纳入区应急管理局直接监管重点生产经营单位名录库中的省、市计划外的其他重点生产经营单位。2022年，纳入区应急管理局重点监督检查企业数量如下：安全生产监督管理股61家、危险化学品安全监督管理股2家。此类监督检查要全部应用“互联网+执法”系统。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2.一般监督检查范围：</w:t>
      </w:r>
      <w:r>
        <w:rPr>
          <w:rFonts w:hint="eastAsia" w:ascii="仿宋_GB2312" w:hAnsi="宋体" w:eastAsia="仿宋_GB2312" w:cs="仿宋_GB2312"/>
          <w:color w:val="auto"/>
          <w:kern w:val="0"/>
          <w:sz w:val="31"/>
          <w:szCs w:val="31"/>
          <w:lang w:val="en-US" w:eastAsia="zh-CN" w:bidi="ar"/>
        </w:rPr>
        <w:t>纳入区应急管理局直接监管一般生产经营单位名录库中的中</w:t>
      </w:r>
      <w:r>
        <w:rPr>
          <w:rFonts w:ascii="仿宋_GB2312" w:eastAsia="仿宋_GB2312" w:cs="仿宋_GB2312"/>
          <w:color w:val="auto"/>
          <w:sz w:val="31"/>
          <w:szCs w:val="31"/>
        </w:rPr>
        <w:t>省、市计划外的一般生产经营单位</w:t>
      </w:r>
      <w:r>
        <w:rPr>
          <w:rFonts w:hint="eastAsia" w:ascii="仿宋_GB2312" w:hAnsi="宋体" w:eastAsia="仿宋_GB2312" w:cs="仿宋_GB2312"/>
          <w:color w:val="auto"/>
          <w:kern w:val="0"/>
          <w:sz w:val="31"/>
          <w:szCs w:val="31"/>
          <w:lang w:val="en-US" w:eastAsia="zh-CN" w:bidi="ar"/>
        </w:rPr>
        <w:t xml:space="preserve">，以及安全培训机构等开展监督检查。2022年，纳入区应急管理局一般监督检查企业数量如下：安全生产监督管理股62家、危险化学品安全监督管理股376家、宣传教育和预案管理股1家。此类监督检查要利用江西省“双随机、一公开”行政执法监督平台随机抽取企业和执法人员，抽查比例为60%，抽查情况和监督检查结果及时公开。同时，开展监督检查还应使用“互联网+执法”系统。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四、专项监督检查计划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2022年，纳入区应急管理局安全生产专项监督检查计划的监管股室及下属单位为安全生产监督管理股、危险化学品安全监督管理股，危险化学品安全监督管理股、宣传教育和预案管理股、综合协调与预案管理股、</w:t>
      </w:r>
      <w:r>
        <w:rPr>
          <w:rFonts w:hint="eastAsia" w:ascii="仿宋_GB2312" w:eastAsia="仿宋_GB2312"/>
          <w:color w:val="auto"/>
          <w:sz w:val="32"/>
          <w:szCs w:val="32"/>
          <w:lang w:eastAsia="zh-CN"/>
        </w:rPr>
        <w:t>区应急管理综合行政</w:t>
      </w:r>
      <w:r>
        <w:rPr>
          <w:rFonts w:hint="eastAsia" w:ascii="仿宋_GB2312" w:eastAsia="仿宋_GB2312"/>
          <w:color w:val="auto"/>
          <w:sz w:val="32"/>
          <w:szCs w:val="32"/>
        </w:rPr>
        <w:t>执法大队</w:t>
      </w:r>
      <w:r>
        <w:rPr>
          <w:rFonts w:hint="eastAsia" w:ascii="仿宋_GB2312" w:hAnsi="宋体" w:eastAsia="仿宋_GB2312" w:cs="仿宋_GB2312"/>
          <w:color w:val="auto"/>
          <w:kern w:val="0"/>
          <w:sz w:val="31"/>
          <w:szCs w:val="31"/>
          <w:lang w:val="en-US" w:eastAsia="zh-CN" w:bidi="ar"/>
        </w:rPr>
        <w:t>，各监管股室及下属单位根据上级工作安排、监管业务需要开展专项监督检查。各监管股室及下属单位根据人员、时间、监督检查对象和内容等情况，视情细化确定各自专项监督检查计划，可以单独开展也可以联合其他监管股室、乡（镇、街道）或其他部门共同开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五、监督检查内容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 xml:space="preserve">（一）通用监督检查事项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1.主要负责人履行职责情况；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2.安全投入保障情况；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3.安全生产管理机构人员设置配备及规章制度制定与执行情况；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4.从业人员安全生产教育和培训情况；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5.特种作业人员持证上岗情况；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6.建设项目安全评价及建设项目安全设施“三同时”情况；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7.安全警示标志情况；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8.安全设备情况；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9.重大危险源安全管理情况；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10.事故隐患排查治理情况；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11.危险场所与员工宿舍安全距离及安全出口管理情况；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12.危险作业安全管理情况；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13.劳动防护用品管理情况；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14.生产经营项目、场所、设备发包、出租管理情况；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15.事故风险及应急措施告知情况；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16.是否存在非法生产、未批先建等情况；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17.应急预案的制定、演练、风险评估和应急资源调查、评审或者论证、备案、评估等情况。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w:t>
      </w:r>
      <w:r>
        <w:rPr>
          <w:rFonts w:hint="eastAsia" w:ascii="楷体_GB2312" w:hAnsi="楷体_GB2312" w:eastAsia="楷体_GB2312" w:cs="楷体_GB2312"/>
          <w:b/>
          <w:bCs/>
          <w:color w:val="auto"/>
          <w:kern w:val="0"/>
          <w:sz w:val="31"/>
          <w:szCs w:val="31"/>
          <w:lang w:val="en-US" w:eastAsia="zh-CN" w:bidi="ar"/>
        </w:rPr>
        <w:t>二</w:t>
      </w:r>
      <w:r>
        <w:rPr>
          <w:rFonts w:ascii="楷体_GB2312" w:hAnsi="楷体_GB2312" w:eastAsia="楷体_GB2312" w:cs="楷体_GB2312"/>
          <w:b/>
          <w:bCs/>
          <w:color w:val="auto"/>
          <w:kern w:val="0"/>
          <w:sz w:val="31"/>
          <w:szCs w:val="31"/>
          <w:lang w:val="en-US" w:eastAsia="zh-CN" w:bidi="ar"/>
        </w:rPr>
        <w:t xml:space="preserve">）非煤矿山重点监督检查事项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非煤矿山相关证照取得情况、矿山图纸更新情况、作业中段和同时作业点数与设计对比情况、地下矿山安全出口设置情况、露天矿山安全距离情况、安全台阶参数与设计对比情况、尾矿库排洪系统质量检测情况、上升速率与设计对比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w:t>
      </w:r>
      <w:r>
        <w:rPr>
          <w:rFonts w:hint="eastAsia" w:ascii="楷体_GB2312" w:hAnsi="楷体_GB2312" w:eastAsia="楷体_GB2312" w:cs="楷体_GB2312"/>
          <w:b/>
          <w:bCs/>
          <w:color w:val="auto"/>
          <w:kern w:val="0"/>
          <w:sz w:val="31"/>
          <w:szCs w:val="31"/>
          <w:lang w:val="en-US" w:eastAsia="zh-CN" w:bidi="ar"/>
        </w:rPr>
        <w:t>三</w:t>
      </w:r>
      <w:r>
        <w:rPr>
          <w:rFonts w:ascii="楷体_GB2312" w:hAnsi="楷体_GB2312" w:eastAsia="楷体_GB2312" w:cs="楷体_GB2312"/>
          <w:b/>
          <w:bCs/>
          <w:color w:val="auto"/>
          <w:kern w:val="0"/>
          <w:sz w:val="31"/>
          <w:szCs w:val="31"/>
          <w:lang w:val="en-US" w:eastAsia="zh-CN" w:bidi="ar"/>
        </w:rPr>
        <w:t xml:space="preserve">）危险化学品重点监督检查事项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 xml:space="preserve">危险化学品经营许可证情况，安全管理情况，持证上岗情况。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w:t>
      </w:r>
      <w:r>
        <w:rPr>
          <w:rFonts w:hint="eastAsia" w:ascii="楷体_GB2312" w:hAnsi="楷体_GB2312" w:eastAsia="楷体_GB2312" w:cs="楷体_GB2312"/>
          <w:b/>
          <w:bCs/>
          <w:color w:val="auto"/>
          <w:kern w:val="0"/>
          <w:sz w:val="31"/>
          <w:szCs w:val="31"/>
          <w:lang w:val="en-US" w:eastAsia="zh-CN" w:bidi="ar"/>
        </w:rPr>
        <w:t>四</w:t>
      </w:r>
      <w:r>
        <w:rPr>
          <w:rFonts w:ascii="楷体_GB2312" w:hAnsi="楷体_GB2312" w:eastAsia="楷体_GB2312" w:cs="楷体_GB2312"/>
          <w:b/>
          <w:bCs/>
          <w:color w:val="auto"/>
          <w:kern w:val="0"/>
          <w:sz w:val="31"/>
          <w:szCs w:val="31"/>
          <w:lang w:val="en-US" w:eastAsia="zh-CN" w:bidi="ar"/>
        </w:rPr>
        <w:t xml:space="preserve">）烟花爆竹重点监督检查事项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 xml:space="preserve">烟花爆竹经营许可情况，经营管理情况。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w:t>
      </w:r>
      <w:r>
        <w:rPr>
          <w:rFonts w:hint="eastAsia" w:ascii="楷体_GB2312" w:hAnsi="楷体_GB2312" w:eastAsia="楷体_GB2312" w:cs="楷体_GB2312"/>
          <w:b/>
          <w:bCs/>
          <w:color w:val="auto"/>
          <w:kern w:val="0"/>
          <w:sz w:val="31"/>
          <w:szCs w:val="31"/>
          <w:lang w:val="en-US" w:eastAsia="zh-CN" w:bidi="ar"/>
        </w:rPr>
        <w:t>五</w:t>
      </w:r>
      <w:r>
        <w:rPr>
          <w:rFonts w:ascii="楷体_GB2312" w:hAnsi="楷体_GB2312" w:eastAsia="楷体_GB2312" w:cs="楷体_GB2312"/>
          <w:b/>
          <w:bCs/>
          <w:color w:val="auto"/>
          <w:kern w:val="0"/>
          <w:sz w:val="31"/>
          <w:szCs w:val="31"/>
          <w:lang w:val="en-US" w:eastAsia="zh-CN" w:bidi="ar"/>
        </w:rPr>
        <w:t xml:space="preserve">）工贸重点监督检查事项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“粉尘涉爆企业6项”执法检查重点事项、“工贸企业有限空间作业4项”执法检查重点事项，其他行业检查事项对照《工贸行业重大生产安全事故隐患判定标准（2017 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w:t>
      </w:r>
      <w:r>
        <w:rPr>
          <w:rFonts w:hint="eastAsia" w:ascii="楷体_GB2312" w:hAnsi="楷体_GB2312" w:eastAsia="楷体_GB2312" w:cs="楷体_GB2312"/>
          <w:b/>
          <w:bCs/>
          <w:color w:val="auto"/>
          <w:kern w:val="0"/>
          <w:sz w:val="31"/>
          <w:szCs w:val="31"/>
          <w:lang w:val="en-US" w:eastAsia="zh-CN" w:bidi="ar"/>
        </w:rPr>
        <w:t>六</w:t>
      </w:r>
      <w:r>
        <w:rPr>
          <w:rFonts w:ascii="楷体_GB2312" w:hAnsi="楷体_GB2312" w:eastAsia="楷体_GB2312" w:cs="楷体_GB2312"/>
          <w:b/>
          <w:bCs/>
          <w:color w:val="auto"/>
          <w:kern w:val="0"/>
          <w:sz w:val="31"/>
          <w:szCs w:val="31"/>
          <w:lang w:val="en-US" w:eastAsia="zh-CN" w:bidi="ar"/>
        </w:rPr>
        <w:t xml:space="preserve">）安全培训重点监督检查事项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具备从事安全培训工作所需要的基本条件、建立健全培训管理制度和专兼职教师配备、执行培训大纲、建立培训档案及培训全过程录像和培训保障等情况。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六、具体要求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both"/>
        <w:textAlignment w:val="auto"/>
        <w:rPr>
          <w:color w:val="auto"/>
        </w:rPr>
      </w:pPr>
      <w:r>
        <w:rPr>
          <w:rFonts w:ascii="楷体_GB2312" w:hAnsi="楷体_GB2312" w:eastAsia="楷体_GB2312" w:cs="楷体_GB2312"/>
          <w:b/>
          <w:bCs/>
          <w:color w:val="auto"/>
          <w:kern w:val="0"/>
          <w:sz w:val="31"/>
          <w:szCs w:val="31"/>
          <w:lang w:val="en-US" w:eastAsia="zh-CN" w:bidi="ar"/>
        </w:rPr>
        <w:t>（一）加强组织领</w:t>
      </w:r>
      <w:r>
        <w:rPr>
          <w:rFonts w:hint="eastAsia" w:ascii="楷体_GB2312" w:hAnsi="楷体_GB2312" w:eastAsia="楷体_GB2312" w:cs="楷体_GB2312"/>
          <w:b/>
          <w:bCs/>
          <w:color w:val="auto"/>
          <w:kern w:val="0"/>
          <w:sz w:val="31"/>
          <w:szCs w:val="31"/>
          <w:lang w:val="en-US" w:eastAsia="zh-CN" w:bidi="ar"/>
        </w:rPr>
        <w:t>导</w:t>
      </w:r>
      <w:r>
        <w:rPr>
          <w:rFonts w:hint="eastAsia" w:ascii="仿宋_GB2312" w:hAnsi="宋体" w:eastAsia="仿宋_GB2312" w:cs="仿宋_GB2312"/>
          <w:color w:val="auto"/>
          <w:kern w:val="0"/>
          <w:sz w:val="31"/>
          <w:szCs w:val="31"/>
          <w:lang w:val="en-US" w:eastAsia="zh-CN" w:bidi="ar"/>
        </w:rPr>
        <w:t xml:space="preserve">。各监管股室及下属单位要充分认识制定实施年度安全生产监督检查计划是贯彻执行安全生产法律法规、依法履行安全监管职责的重要体现，各监管股室及下属单位要统一思想、高度重视，科学统筹人员力量和时间，对年度计划中的日常监督检查计划进行再分解、再细化，制定季度、月度日常监督检查计划，明确监督检查对象、内容和时间，并在区政府网站上公布；同时，做好实施过程中的统计、分析和总结工作，并严格履行报批和备案程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（二）严格规范执法。</w:t>
      </w:r>
      <w:r>
        <w:rPr>
          <w:rFonts w:hint="eastAsia" w:ascii="仿宋_GB2312" w:hAnsi="宋体" w:eastAsia="仿宋_GB2312" w:cs="仿宋_GB2312"/>
          <w:color w:val="auto"/>
          <w:kern w:val="0"/>
          <w:sz w:val="31"/>
          <w:szCs w:val="31"/>
          <w:lang w:val="en-US" w:eastAsia="zh-CN" w:bidi="ar"/>
        </w:rPr>
        <w:t xml:space="preserve">落实行政执法“三项制度”和《执法手册》有关规定，坚持严格规范公正文明精准执法。监督检查前要突出重点工艺、重点部位、重点事项编制具体检查方案，监督检查时要亮证执法，检查发现问题隐患要及时下达执法文书责令改正，并落实执法闭环管理；构成立案处罚的，按照事实清楚、依据准确、处罚适当、程序合法的要求，对照自由裁量标准有关规定，严格案件查办，强化以案促改警示作用并及时向社会公开监督检查结果；涉嫌违法犯罪的，要依照有关规定向司法机关移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（三）提高执法效能。</w:t>
      </w:r>
      <w:r>
        <w:rPr>
          <w:rFonts w:hint="eastAsia" w:ascii="仿宋_GB2312" w:hAnsi="宋体" w:eastAsia="仿宋_GB2312" w:cs="仿宋_GB2312"/>
          <w:color w:val="auto"/>
          <w:kern w:val="0"/>
          <w:sz w:val="31"/>
          <w:szCs w:val="31"/>
          <w:lang w:val="en-US" w:eastAsia="zh-CN" w:bidi="ar"/>
        </w:rPr>
        <w:t xml:space="preserve">坚持严格执法与指导服务并重，持续推行“三位一体”工作模式，开展示范执法活动；建立健全执法情况动态分析研判机制，定期分析各监管行业领域监督检查发现的共性突出问题，结合实际研究确定下步监督检查对象和监督检查事项；充分发挥专家专长，对企业安全生产工作给予指导服务；日常监督检查、行政处罚等要应用“互联网+执法”系统和江西省“双随机、一公开”行政执法监督平台，探索远程执法模式，利用科技信息化助力监管执法工作，实现精准执法和智慧监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（四）加强宣传教育。</w:t>
      </w:r>
      <w:r>
        <w:rPr>
          <w:rFonts w:hint="eastAsia" w:ascii="仿宋_GB2312" w:hAnsi="宋体" w:eastAsia="仿宋_GB2312" w:cs="仿宋_GB2312"/>
          <w:color w:val="auto"/>
          <w:kern w:val="0"/>
          <w:sz w:val="31"/>
          <w:szCs w:val="31"/>
          <w:lang w:val="en-US" w:eastAsia="zh-CN" w:bidi="ar"/>
        </w:rPr>
        <w:t xml:space="preserve">按照“谁执法谁普法”要求，把《行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 xml:space="preserve">政处罚法》《安全生产法》等法律法规的宣传教育融入执法全过程，结合执法实情充分释法说理，增强生产经营单位和社会公众的安全生产法治意识和水平。充分利用好各类媒体，对查办的安全生产违法行为大案要案和典型案件进行集中曝光，着力营造“人人关注安全、人人参与安全”的良好社会氛围；通过执法培训等方式提升监管人员执法能力和水平。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黑体" w:hAnsi="黑体" w:eastAsia="仿宋_GB2312" w:cs="黑体"/>
          <w:color w:val="auto"/>
          <w:sz w:val="32"/>
          <w:szCs w:val="32"/>
        </w:rPr>
      </w:pPr>
      <w:r>
        <w:rPr>
          <w:rFonts w:hint="default" w:ascii="楷体" w:hAnsi="楷体" w:eastAsia="楷体" w:cs="楷体"/>
          <w:b/>
          <w:bCs/>
          <w:color w:val="auto"/>
          <w:kern w:val="0"/>
          <w:sz w:val="32"/>
          <w:szCs w:val="32"/>
          <w:lang w:val="en-US" w:eastAsia="zh-CN" w:bidi="ar"/>
        </w:rPr>
        <w:t>（</w:t>
      </w:r>
      <w:r>
        <w:rPr>
          <w:rFonts w:hint="eastAsia" w:ascii="楷体" w:hAnsi="楷体" w:eastAsia="楷体" w:cs="楷体"/>
          <w:b/>
          <w:bCs/>
          <w:color w:val="auto"/>
          <w:kern w:val="0"/>
          <w:sz w:val="32"/>
          <w:szCs w:val="32"/>
          <w:lang w:val="en-US" w:eastAsia="zh-CN" w:bidi="ar"/>
        </w:rPr>
        <w:t>五</w:t>
      </w:r>
      <w:r>
        <w:rPr>
          <w:rFonts w:hint="default" w:ascii="楷体" w:hAnsi="楷体" w:eastAsia="楷体" w:cs="楷体"/>
          <w:b/>
          <w:bCs/>
          <w:color w:val="auto"/>
          <w:kern w:val="0"/>
          <w:sz w:val="32"/>
          <w:szCs w:val="32"/>
          <w:lang w:val="en-US" w:eastAsia="zh-CN" w:bidi="ar"/>
        </w:rPr>
        <w:t>）</w:t>
      </w:r>
      <w:r>
        <w:rPr>
          <w:rFonts w:hint="eastAsia" w:ascii="楷体" w:hAnsi="楷体" w:eastAsia="楷体" w:cs="楷体"/>
          <w:b/>
          <w:bCs/>
          <w:color w:val="auto"/>
          <w:kern w:val="0"/>
          <w:sz w:val="32"/>
          <w:szCs w:val="32"/>
          <w:lang w:val="en-US" w:eastAsia="zh-CN" w:bidi="ar"/>
        </w:rPr>
        <w:t>落实安全生产</w:t>
      </w:r>
      <w:r>
        <w:rPr>
          <w:rFonts w:hint="default" w:ascii="楷体" w:hAnsi="楷体" w:eastAsia="楷体" w:cs="楷体"/>
          <w:b/>
          <w:bCs/>
          <w:color w:val="auto"/>
          <w:kern w:val="0"/>
          <w:sz w:val="32"/>
          <w:szCs w:val="32"/>
          <w:lang w:val="en-US" w:eastAsia="zh-CN" w:bidi="ar"/>
        </w:rPr>
        <w:t>典型案例</w:t>
      </w:r>
      <w:r>
        <w:rPr>
          <w:rFonts w:hint="eastAsia" w:ascii="楷体" w:hAnsi="楷体" w:eastAsia="楷体" w:cs="楷体"/>
          <w:b/>
          <w:bCs/>
          <w:color w:val="auto"/>
          <w:kern w:val="0"/>
          <w:sz w:val="32"/>
          <w:szCs w:val="32"/>
          <w:lang w:val="en-US" w:eastAsia="zh-CN" w:bidi="ar"/>
        </w:rPr>
        <w:t>报送工作</w:t>
      </w:r>
      <w:r>
        <w:rPr>
          <w:rFonts w:hint="default" w:ascii="楷体" w:hAnsi="楷体" w:eastAsia="楷体" w:cs="楷体"/>
          <w:b/>
          <w:bCs/>
          <w:color w:val="auto"/>
          <w:kern w:val="0"/>
          <w:sz w:val="32"/>
          <w:szCs w:val="32"/>
          <w:lang w:val="en-US" w:eastAsia="zh-CN" w:bidi="ar"/>
        </w:rPr>
        <w:t>。</w:t>
      </w:r>
      <w:r>
        <w:rPr>
          <w:rFonts w:hint="default" w:ascii="仿宋_GB2312" w:hAnsi="仿宋_GB2312" w:eastAsia="仿宋_GB2312" w:cs="仿宋_GB2312"/>
          <w:color w:val="auto"/>
          <w:sz w:val="32"/>
          <w:szCs w:val="32"/>
          <w:lang w:val="en-US" w:eastAsia="zh-CN"/>
        </w:rPr>
        <w:t>按照应急管理部</w:t>
      </w:r>
      <w:r>
        <w:rPr>
          <w:rFonts w:hint="eastAsia" w:ascii="仿宋_GB2312" w:hAnsi="仿宋_GB2312" w:eastAsia="仿宋_GB2312" w:cs="仿宋_GB2312"/>
          <w:color w:val="auto"/>
          <w:sz w:val="32"/>
          <w:szCs w:val="32"/>
          <w:lang w:val="en-US" w:eastAsia="zh-CN"/>
        </w:rPr>
        <w:t>要求每年要报送6个典型案例（上半年3个、下半年3个）</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危险化学品安全监督管理股</w:t>
      </w:r>
      <w:r>
        <w:rPr>
          <w:rFonts w:hint="default" w:ascii="仿宋_GB2312" w:hAnsi="仿宋_GB2312" w:eastAsia="仿宋_GB2312" w:cs="仿宋_GB2312"/>
          <w:color w:val="auto"/>
          <w:sz w:val="32"/>
          <w:szCs w:val="32"/>
          <w:lang w:val="en-US" w:eastAsia="zh-CN"/>
        </w:rPr>
        <w:t>每年至少报送</w:t>
      </w:r>
      <w:r>
        <w:rPr>
          <w:rFonts w:hint="eastAsia" w:ascii="仿宋_GB2312" w:hAnsi="仿宋_GB2312" w:eastAsia="仿宋_GB2312" w:cs="仿宋_GB2312"/>
          <w:color w:val="auto"/>
          <w:sz w:val="32"/>
          <w:szCs w:val="32"/>
          <w:lang w:val="en-US" w:eastAsia="zh-CN"/>
        </w:rPr>
        <w:t>4个典型案例（上半年2个、下半年2个）</w:t>
      </w:r>
      <w:r>
        <w:rPr>
          <w:rFonts w:hint="eastAsia" w:ascii="仿宋_GB2312" w:hAnsi="仿宋_GB2312" w:eastAsia="仿宋_GB2312" w:cs="仿宋_GB2312"/>
          <w:color w:val="auto"/>
          <w:sz w:val="32"/>
          <w:szCs w:val="32"/>
          <w:lang w:eastAsia="zh-CN"/>
        </w:rPr>
        <w:t>、安全生产监督管理股</w:t>
      </w:r>
      <w:r>
        <w:rPr>
          <w:rFonts w:hint="default" w:ascii="仿宋_GB2312" w:hAnsi="仿宋_GB2312" w:eastAsia="仿宋_GB2312" w:cs="仿宋_GB2312"/>
          <w:color w:val="auto"/>
          <w:sz w:val="32"/>
          <w:szCs w:val="32"/>
          <w:lang w:val="en-US" w:eastAsia="zh-CN"/>
        </w:rPr>
        <w:t>每年至少报送</w:t>
      </w:r>
      <w:r>
        <w:rPr>
          <w:rFonts w:hint="eastAsia" w:ascii="仿宋_GB2312" w:hAnsi="仿宋_GB2312" w:eastAsia="仿宋_GB2312" w:cs="仿宋_GB2312"/>
          <w:color w:val="auto"/>
          <w:sz w:val="32"/>
          <w:szCs w:val="32"/>
          <w:lang w:val="en-US" w:eastAsia="zh-CN"/>
        </w:rPr>
        <w:t>2个典型案例（上半年1个、下半年1个）</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典型</w:t>
      </w:r>
      <w:r>
        <w:rPr>
          <w:rFonts w:hint="default" w:ascii="仿宋_GB2312" w:hAnsi="仿宋_GB2312" w:eastAsia="仿宋_GB2312" w:cs="仿宋_GB2312"/>
          <w:color w:val="auto"/>
          <w:sz w:val="32"/>
          <w:szCs w:val="32"/>
          <w:lang w:val="en-US" w:eastAsia="zh-CN"/>
        </w:rPr>
        <w:t>案例须聚焦</w:t>
      </w:r>
      <w:r>
        <w:rPr>
          <w:rFonts w:hint="eastAsia" w:ascii="仿宋_GB2312" w:hAnsi="仿宋_GB2312" w:eastAsia="仿宋_GB2312" w:cs="仿宋_GB2312"/>
          <w:color w:val="auto"/>
          <w:sz w:val="32"/>
          <w:szCs w:val="32"/>
        </w:rPr>
        <w:t>《安全生产执法手册（2020年版）》安全生产监督检查重点事项表</w:t>
      </w:r>
      <w:r>
        <w:rPr>
          <w:rFonts w:hint="default" w:ascii="仿宋_GB2312" w:hAnsi="仿宋_GB2312" w:eastAsia="仿宋_GB2312" w:cs="仿宋_GB2312"/>
          <w:color w:val="auto"/>
          <w:sz w:val="32"/>
          <w:szCs w:val="32"/>
          <w:lang w:val="en-US" w:eastAsia="zh-CN"/>
        </w:rPr>
        <w:t>执法检查重点事项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执法检查重点属于5类重点（危险化学品/烟花爆竹/工贸/安全评价和检测检验机构/特种作业人员持证上岗情况）之一，报送案例起始时间为202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年1月1日，属于行政处罚的案例。</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仿宋_GB2312"/>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宋体" w:eastAsia="仿宋_GB2312" w:cs="仿宋_GB2312"/>
          <w:color w:val="auto"/>
          <w:kern w:val="0"/>
          <w:sz w:val="31"/>
          <w:szCs w:val="31"/>
          <w:lang w:val="en-US" w:eastAsia="zh-CN" w:bidi="ar"/>
        </w:rPr>
        <w:t>附件：1.</w:t>
      </w:r>
      <w:r>
        <w:rPr>
          <w:rFonts w:hint="eastAsia" w:ascii="仿宋_GB2312" w:hAnsi="仿宋_GB2312" w:eastAsia="仿宋_GB2312" w:cs="仿宋_GB2312"/>
          <w:color w:val="auto"/>
          <w:sz w:val="32"/>
          <w:szCs w:val="32"/>
          <w:lang w:val="en-US" w:eastAsia="zh-CN"/>
        </w:rPr>
        <w:t>南康区应急管理局重点监督检查企业名录库</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550" w:firstLineChars="5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宋体" w:eastAsia="仿宋_GB2312" w:cs="仿宋_GB2312"/>
          <w:color w:val="auto"/>
          <w:kern w:val="0"/>
          <w:sz w:val="31"/>
          <w:szCs w:val="31"/>
          <w:lang w:val="en-US" w:eastAsia="zh-CN" w:bidi="ar"/>
        </w:rPr>
        <w:t>2.</w:t>
      </w:r>
      <w:r>
        <w:rPr>
          <w:rFonts w:hint="eastAsia" w:ascii="仿宋_GB2312" w:hAnsi="仿宋_GB2312" w:eastAsia="仿宋_GB2312" w:cs="仿宋_GB2312"/>
          <w:color w:val="auto"/>
          <w:sz w:val="32"/>
          <w:szCs w:val="32"/>
          <w:lang w:val="en-US" w:eastAsia="zh-CN"/>
        </w:rPr>
        <w:t>南康区应急管理局一般监督检查企业名录库</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color w:val="auto"/>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color w:val="auto"/>
        </w:rPr>
      </w:pPr>
      <w:r>
        <w:rPr>
          <w:rFonts w:hint="eastAsia" w:ascii="黑体" w:hAnsi="宋体" w:eastAsia="黑体" w:cs="黑体"/>
          <w:color w:val="auto"/>
          <w:kern w:val="0"/>
          <w:sz w:val="31"/>
          <w:szCs w:val="31"/>
          <w:lang w:val="en-US" w:eastAsia="zh-CN" w:bidi="ar"/>
        </w:rPr>
        <w:t xml:space="preserve">附件1：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lang w:val="en-US" w:eastAsia="zh-CN" w:bidi="ar"/>
        </w:rPr>
      </w:pPr>
      <w:r>
        <w:rPr>
          <w:rFonts w:hint="eastAsia" w:ascii="方正小标宋简体" w:hAnsi="方正小标宋简体" w:eastAsia="方正小标宋简体" w:cs="方正小标宋简体"/>
          <w:color w:val="auto"/>
          <w:kern w:val="0"/>
          <w:sz w:val="40"/>
          <w:szCs w:val="40"/>
          <w:lang w:val="en-US" w:eastAsia="zh-CN" w:bidi="ar"/>
        </w:rPr>
        <w:t>南康区应急管理局重点监督检查企业名录库</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（共63家，实行全覆盖检查）</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lang w:val="en-US" w:eastAsia="zh-CN" w:bidi="ar"/>
        </w:rPr>
      </w:pPr>
    </w:p>
    <w:tbl>
      <w:tblPr>
        <w:tblStyle w:val="7"/>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3981"/>
        <w:gridCol w:w="1315"/>
        <w:gridCol w:w="1108"/>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14" w:type="dxa"/>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序号</w:t>
            </w:r>
          </w:p>
        </w:tc>
        <w:tc>
          <w:tcPr>
            <w:tcW w:w="3981" w:type="dxa"/>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企业名称</w:t>
            </w:r>
          </w:p>
        </w:tc>
        <w:tc>
          <w:tcPr>
            <w:tcW w:w="1315" w:type="dxa"/>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行业领域</w:t>
            </w:r>
          </w:p>
        </w:tc>
        <w:tc>
          <w:tcPr>
            <w:tcW w:w="1108" w:type="dxa"/>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责任股室</w:t>
            </w:r>
          </w:p>
        </w:tc>
        <w:tc>
          <w:tcPr>
            <w:tcW w:w="1465" w:type="dxa"/>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w:t>
            </w:r>
          </w:p>
        </w:tc>
        <w:tc>
          <w:tcPr>
            <w:tcW w:w="3981"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赣州市南康区农副土特产品公司</w:t>
            </w:r>
          </w:p>
        </w:tc>
        <w:tc>
          <w:tcPr>
            <w:tcW w:w="13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6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w:t>
            </w:r>
          </w:p>
        </w:tc>
        <w:tc>
          <w:tcPr>
            <w:tcW w:w="3981"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赣州市南康区宏伟烟花爆竹批发中心有限公司</w:t>
            </w:r>
          </w:p>
        </w:tc>
        <w:tc>
          <w:tcPr>
            <w:tcW w:w="13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6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w:t>
            </w:r>
          </w:p>
        </w:tc>
        <w:tc>
          <w:tcPr>
            <w:tcW w:w="3981"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赣州市开源矿业有限公司红桃钨矿</w:t>
            </w:r>
          </w:p>
        </w:tc>
        <w:tc>
          <w:tcPr>
            <w:tcW w:w="131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地下矿山</w:t>
            </w:r>
          </w:p>
        </w:tc>
        <w:tc>
          <w:tcPr>
            <w:tcW w:w="1108"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赣州市大旺人造板有限公司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赣州市鼎兴木业有限公司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赣州市南康区赣森人造板有限公司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赣州市南康区金得板业有限公司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赣州爱格森人造板有限公司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赣州市南康区华坊洲新材料有限公司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江西裕丰化纤制品有限公司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江西万诚创鑫木业有限公司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赣州市南康区华洲木业有限公司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江西千多多家具有限公司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江西朗祺实业有限公司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赣州市南康区蓝天木业有限公司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江西福瑞家具有限公司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江西永红家具有限公司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江西三木家具实业有限公司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江西三友家具有限公司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江西地大方圆家具有限公司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江西木牛家具有限公司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江西康琦家具有限公司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赣州市南康区金海家具有限公司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江西嘉美瑞家具有限公司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江西木之宝家具有限公司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赣州市南康区清华园家具有限公司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赣州市南康区怡嘉豪家具有限公司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江西宏巨家具有限公司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江西三联家具有限公司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江西红鼎轩家具有限公司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赣州市南康区东方兴业家具有限公司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江西升伟家具实业有限公司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江西兴隆芳华家具有限公司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赣州市南康区礼明家具有限公司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江西仟亿家具实业有限公司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赣州市文华家瑞家具实业有限公司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江西锦瑞家具有限公司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江西英华木业有限公司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赣州市南康区汇东家具有限公司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江西富龙皇冠实业有限公司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江西林华嘉盛家具有限公司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江西长生帝旺实业有限公司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江西世纪豪轩家具有限公司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44</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江西潘峰家居有限公司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45</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江西自由王国家具有限公司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46</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江西家有儿女家具有限公司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47</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江西团团圆家具有限公司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48</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江西龙平家具有限公司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49</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江西志成达家具有限公司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50</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赣州汇明木业有限公司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51</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江西高丰家具有限公司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52</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江西华强家具有限公司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53</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赣州市南康区德旺轩家具有限公司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54</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江西伊索家具有限公司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55</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赣州市南康区小林家具有限公司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56</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江西熙运天晨家具有限公司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57</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江西慧华家具有限公司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58</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赣州市南康区华晨家具有限公司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59</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江西坚固家具有限公司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60</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江西江佑家具有限公司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61</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江西汇明生态家居科技有限公司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62</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赣州鑫三友家具有限公司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63</w:t>
            </w:r>
          </w:p>
        </w:tc>
        <w:tc>
          <w:tcPr>
            <w:tcW w:w="39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江西九安居家具有限公司</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0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65"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color w:val="auto"/>
        </w:rPr>
      </w:pPr>
      <w:r>
        <w:rPr>
          <w:rFonts w:hint="eastAsia" w:ascii="黑体" w:hAnsi="宋体" w:eastAsia="黑体" w:cs="黑体"/>
          <w:color w:val="auto"/>
          <w:kern w:val="0"/>
          <w:sz w:val="31"/>
          <w:szCs w:val="31"/>
          <w:lang w:val="en-US" w:eastAsia="zh-CN" w:bidi="ar"/>
        </w:rPr>
        <w:t xml:space="preserve">附件2：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r>
        <w:rPr>
          <w:rFonts w:hint="eastAsia" w:ascii="方正小标宋简体" w:hAnsi="方正小标宋简体" w:eastAsia="方正小标宋简体" w:cs="方正小标宋简体"/>
          <w:color w:val="auto"/>
          <w:kern w:val="0"/>
          <w:sz w:val="40"/>
          <w:szCs w:val="40"/>
          <w:lang w:val="en-US" w:eastAsia="zh-CN" w:bidi="ar"/>
        </w:rPr>
        <w:t>南康区应急管理局一般监督检查企业名录库</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（共439家，实行双随机抽查，抽查比例不低于60%）</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lang w:val="en-US" w:eastAsia="zh-CN" w:bidi="ar"/>
        </w:rPr>
      </w:pPr>
    </w:p>
    <w:tbl>
      <w:tblPr>
        <w:tblStyle w:val="7"/>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3773"/>
        <w:gridCol w:w="1443"/>
        <w:gridCol w:w="1118"/>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3"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4"/>
                <w:szCs w:val="24"/>
                <w:u w:val="none"/>
                <w:lang w:val="en-US" w:eastAsia="zh-CN" w:bidi="ar"/>
              </w:rPr>
            </w:pPr>
            <w:r>
              <w:rPr>
                <w:rFonts w:hint="eastAsia" w:ascii="黑体" w:hAnsi="黑体" w:eastAsia="黑体" w:cs="黑体"/>
                <w:b w:val="0"/>
                <w:bCs w:val="0"/>
                <w:i w:val="0"/>
                <w:iCs w:val="0"/>
                <w:color w:val="auto"/>
                <w:kern w:val="0"/>
                <w:sz w:val="24"/>
                <w:szCs w:val="24"/>
                <w:u w:val="none"/>
                <w:lang w:val="en-US" w:eastAsia="zh-CN" w:bidi="ar"/>
              </w:rPr>
              <w:t>序号</w:t>
            </w:r>
          </w:p>
        </w:tc>
        <w:tc>
          <w:tcPr>
            <w:tcW w:w="3773"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4"/>
                <w:szCs w:val="24"/>
                <w:u w:val="none"/>
                <w:lang w:val="en-US" w:eastAsia="zh-CN" w:bidi="ar"/>
              </w:rPr>
            </w:pPr>
            <w:r>
              <w:rPr>
                <w:rFonts w:hint="eastAsia" w:ascii="黑体" w:hAnsi="黑体" w:eastAsia="黑体" w:cs="黑体"/>
                <w:b w:val="0"/>
                <w:bCs w:val="0"/>
                <w:i w:val="0"/>
                <w:iCs w:val="0"/>
                <w:color w:val="auto"/>
                <w:kern w:val="0"/>
                <w:sz w:val="24"/>
                <w:szCs w:val="24"/>
                <w:u w:val="none"/>
                <w:lang w:val="en-US" w:eastAsia="zh-CN" w:bidi="ar"/>
              </w:rPr>
              <w:t>企业名称</w:t>
            </w:r>
          </w:p>
        </w:tc>
        <w:tc>
          <w:tcPr>
            <w:tcW w:w="1443"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4"/>
                <w:szCs w:val="24"/>
                <w:u w:val="none"/>
                <w:lang w:val="en-US" w:eastAsia="zh-CN" w:bidi="ar"/>
              </w:rPr>
            </w:pPr>
            <w:r>
              <w:rPr>
                <w:rFonts w:hint="eastAsia" w:ascii="黑体" w:hAnsi="黑体" w:eastAsia="黑体" w:cs="黑体"/>
                <w:b w:val="0"/>
                <w:bCs w:val="0"/>
                <w:i w:val="0"/>
                <w:iCs w:val="0"/>
                <w:color w:val="auto"/>
                <w:kern w:val="0"/>
                <w:sz w:val="24"/>
                <w:szCs w:val="24"/>
                <w:u w:val="none"/>
                <w:lang w:val="en-US" w:eastAsia="zh-CN" w:bidi="ar"/>
              </w:rPr>
              <w:t>行业领域</w:t>
            </w:r>
          </w:p>
        </w:tc>
        <w:tc>
          <w:tcPr>
            <w:tcW w:w="1118"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4"/>
                <w:szCs w:val="24"/>
                <w:u w:val="none"/>
                <w:lang w:val="en-US" w:eastAsia="zh-CN" w:bidi="ar"/>
              </w:rPr>
            </w:pPr>
            <w:r>
              <w:rPr>
                <w:rFonts w:hint="eastAsia" w:ascii="黑体" w:hAnsi="黑体" w:eastAsia="黑体" w:cs="黑体"/>
                <w:b w:val="0"/>
                <w:bCs w:val="0"/>
                <w:i w:val="0"/>
                <w:iCs w:val="0"/>
                <w:color w:val="auto"/>
                <w:kern w:val="0"/>
                <w:sz w:val="24"/>
                <w:szCs w:val="24"/>
                <w:u w:val="none"/>
                <w:lang w:val="en-US" w:eastAsia="zh-CN" w:bidi="ar"/>
              </w:rPr>
              <w:t>责任股室</w:t>
            </w:r>
          </w:p>
        </w:tc>
        <w:tc>
          <w:tcPr>
            <w:tcW w:w="1478" w:type="dxa"/>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4"/>
                <w:szCs w:val="24"/>
                <w:u w:val="none"/>
                <w:lang w:val="en-US" w:eastAsia="zh-CN" w:bidi="ar"/>
              </w:rPr>
            </w:pPr>
            <w:r>
              <w:rPr>
                <w:rFonts w:hint="eastAsia" w:ascii="黑体" w:hAnsi="黑体" w:eastAsia="黑体" w:cs="黑体"/>
                <w:b w:val="0"/>
                <w:bCs w:val="0"/>
                <w:i w:val="0"/>
                <w:iCs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南康区麻双刘济停烟花爆竹店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南康区麻双黄宗生烟花爆竹店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南康区大坪许龙凤烟花爆竹店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南康区大坪许贵生烟花爆竹店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南康区十八塘刘显桥烟花爆竹店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南康区十八塘郭芳铭烟花爆竹店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南康区十八塘刘存平烟花爆竹店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南康区十八塘钟贵平烟花爆竹店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南康区十八塘刘金明烟花爆竹店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南康区龙华乡邱启财爆竹店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南康区龙华乡金红烟花爆竹店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赣州市南康区温春娣烟花爆竹店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赣州市南康区温相局烟花爆竹店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南康区唐江严志刚烟花爆竹店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南康区唐江曹世华烟花爆竹店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南康区唐江叶玉莲烟花爆竹店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南康区唐江刘日华烟花爆竹店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南康区唐江邹仁彬烟花爆竹店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南康区唐江钟义吉烟花爆竹店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南康区唐江叶才云烟花爆竹店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南康区唐江曾广平烟花爆竹店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南康区唐江刘桂亮烟花爆竹店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南康区唐江张小华烟花爆竹店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南康区唐江蔡春雷烟花爆竹店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南康区太窝张学忠烟花爆竹店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南康区朱坊余祥林烟花爆竹店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南康区朱坊邱积龙烟花爆竹店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南康区朱坊蓝光洲烟花爆竹店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南康区镜坝陈武林烟花爆竹店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南康区镜坝刘祥生烟花爆竹店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南康区横寨刘翼明烟花爆竹店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南康区横寨黎衍英烟花爆竹店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南康区赤土蓝贤竖烟花爆竹店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南康区赤土蓝希辉烟花爆竹店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南康区赤土刘观石烟花爆竹店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南康区赤土邱永福烟花爆竹店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南康区浮石肖金英烟花爆竹店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南康区浮石施金华烟花爆竹店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南康区浮石林毫强烟花爆竹店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南康区龙岭廖能发烟花爆竹店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南康区龙岭戴青兰烟花爆竹店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南康区龙岭郭建明烟花爆竹店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南康区龙岭卢运平烟花爆竹店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南康区龙岭肖诗洪烟花爆竹店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南康区龙岭廖铁芳烟花爆竹店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南康区龙岭廖家龙烟花爆竹店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南康区龙岭廖永香烟花爆竹店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南康区龙岭曾建华烟花爆竹店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赣州市南康区金满堂烟花爆竹店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南康区龙岭廖传海烟花爆竹店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南康区龙岭卢瑞英烟花爆竹店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南康区龙岭张秀平烟花爆竹店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南康区龙回黎泉烟花爆竹店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南康区龙回朱六福烟花爆竹店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南康区龙回朱科明烟花爆竹店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南康区龙回曹开明烟花爆竹店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南康区东山刘明康烟花爆竹店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南康区蓉江廖永春烟花爆竹店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59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南康区蓉江吴忠莲烟花爆竹店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南康区隆木邓仁容烟花爆竹店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南康区隆木熊招英烟花爆竹店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南康区坪市明小英烟花爆竹店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南康区坪市刘爱民烟花爆竹店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南康区坪市张永生烟花爆竹店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南康区横市张世明烟花爆竹店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南康区横市方宣华烟花爆竹店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南康区横市朱权烟花爆竹店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南康区横市罗忠民烟花爆竹店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69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南康区横市邓旺友烟花爆竹店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南康区横市吴小红烟花爆竹店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南康区横市朱日权烟花爆竹店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南康区龙回王平川烟花爆竹店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南康区龙回肖芳礼烟花爆竹店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南康区龙回林培明烟花爆竹店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南康区赤土刘定昌烟花爆竹店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南康区坪市张忠财烟花爆竹店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南康区坪市刘小华烟花爆竹店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南康区横寨蔡周贵烟花爆竹店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79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南康区浮石黄家胜烟花爆竹店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南康区隆木李荣香烟花爆竹店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南康区隆木乡福客隆超市</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南康区隆木明建华烟花爆竹店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南康区隆木王仁海烟花爆竹店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赣州市南康区宝灵农资店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南康区坪市乡长生烟花爆竹店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赣州市南康区张厚传农资店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南康区坪市乡明春生烟花爆竹店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南康区坪市王仁佑烟花爆竹店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89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南康区坪市罗甲生烟花爆竹店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赣州市南康区张元香农资店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南康区横市刘加兰烟花爆竹店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南康区横市镇曾令福烟花爆竹店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南康区横市强民烟花爆竹店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南康区横市镇日香烟花爆竹店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南康区横市镇江小华烟花爆竹店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南康区横市镇刘九英烟花爆竹店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赣州市南康区朱生文农资店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南康区大坪乡邓九兰烟花爆竹店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99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南康区大坪乡刘李明烟花爆竹店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南康区大坪周运福烟花爆竹店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南康区麻双乡张宝仙烟花爆竹店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南康区麻双乡李绣芳烟花爆竹店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南康区十八塘乡邓隆有烟花爆竹店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南康区十八塘乡先璋烟花爆竹销售店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南康区十八塘乡刘芳山烟花爆竹店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南康区十八塘乡刘家飞烟花爆竹店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南康区十八塘乡刘芳谋烟花爆竹店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赣州市南康区宏聪烟花爆竹店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109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南康区龙华罗秀兰烟花爆竹店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南康区龙华乡王慧兰烟花爆竹店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南康区龙华乡九龙烟花爆竹店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南康区龙华肖青华烟花爆竹店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南康区龙华乡昭喜烟花爆竹店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南康区龙华谢香娣烟花爆竹销售店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南康区龙华吉金兰烟花爆竹店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南康区龙华乡元生烟花爆竹零售店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南康区龙华乡刘进烟花爆竹店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南康区龙华镇燕青爆竹店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119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南康区唐江镇郭训兰烟花爆竹销售店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南康区唐江镇董桂莲烟花爆竹销售店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南康区唐江镇袁任英烟花爆竹销售店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南康区唐江镇傅联香烟花爆竹店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南康区唐江镇王氏烟花爆竹店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南康区唐江镇吴格春烟花爆竹店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南康区唐江镇老张烟花爆竹店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南康区唐江镇严永春烟花爆竹店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南康区唐江镇张鸿秀烟花爆竹销售店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赣州市南康区朱信玉农资店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129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南康区唐江镇刘玉光烟花爆竹店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南康区唐江镇钟惇平烟花爆竹店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南康区唐江卢和铨烟花爆竹店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南康区唐江镇张国军烟花爆竹店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南康区唐江镇陈锦兰副食店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南康区唐江镇梁贵莲烟花爆竹店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南康区唐江镇钟菊花烟花爆竹店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南康区唐江镇炫彩烟花爆竹店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南康区太窝李家红烟花爆竹店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南康区太窝申昌平烟花爆竹店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139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南康区太窝陈人明烟花爆竹店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南康区朱坊沈秀珍烟花爆竹店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南康区朱坊袁长剑烟花爆竹店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南康区朱坊严来平烟花爆竹店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南康区镜坝叶春英烟花爆竹店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南康区镜坝李新文烟花爆竹店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南康区镜坝张经东烟花爆竹店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南康区刘小英烟花爆竹店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南康区镜坝刘吉常烟花爆竹店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赣州市南康区兰华烟花爆竹店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149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赣州市南康区横寨黎海明烟花爆竹店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赣州市南康区蓝平烟花爆竹销售店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南康区横寨蔡教忠烟花爆竹店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南康区横寨巫志华副食店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赣州市南康区谢士河烟花爆竹店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横寨黄绍冰烟花爆竹销售店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南康区罗会芳百货店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赣州市南康区张仁锋烟花爆竹店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南康区黄仁奇烟花爆竹店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南康区芳铭副食店店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159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赣州市南康区廖庆华烟花爆竹店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赣州市南康区邓平华烟花爆竹店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南康区老赵烟花爆竹店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赣州市南康区蓝贤英烟花爆竹店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赣州市南康区罗润红烟花爆竹店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赣州市南康区赤土罗秋平烟花爆竹店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赣州市南康区丁江文烟花爆竹店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海燕烟花爆竹店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南康区黄绍先烟花爆竹店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南康区坊新烟花爆竹店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169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南康区李坊润烟花爆竹店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南康区罗允万烟花爆竹店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南康区彭宝生农资店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赣州市南康区龙岭申氏烟花爆竹店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赣州市南康区廖为明烟花爆竹店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赣州市南康区龙岭陈连娣烟花爆竹店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南康区龙岭曾祥华烟花爆竹店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赣州市南康区龙岭朱华平烟花爆竹店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赣州市南康区陈桂兰烟花爆竹店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赣州市南康区刘丽萍烟花爆竹店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179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赣州市南康区龙岭镇邹清烟花爆竹店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赣州市南康区龙岭钟秋兰烟花爆竹店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赣州市南康区平俊烟花爆竹店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赣州市南康区龙岭陈玉梅烟花店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赣州市南康区罗琴烟花爆竹店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赣州廖素英烟花店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赣州市南康区陈绍金烟花爆竹店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南康区龙回圩万家朋商店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南康区龙回镇王明胜烟花爆竹店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南康区龙回镇曹敏福烟花爆竹店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189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南康区曹有娣烟花爆竹店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南康区龙回王庆民烟花爆竹店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南康区龙回林旗烟花爆竹店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南康区龙回康俊权烟花爆竹店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南康区龙回朱隆喜烟花爆竹店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南康区龙回黄树兰烟花爆竹店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南康区龙回肖华烟花爆竹店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南康区龙回鸿福商行</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南康区龙回镇肖学琴日用品店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南康区龙回镇曾建军烟花爆竹店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199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赣州市南康区赵氏烟花爆竹店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赣州市南康区宏伟烟花爆竹批发中心有限公司</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南康区温开明副食店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南康区卓春辉烟花爆竹店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南康区刘毓忠副食店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南康区黄鑫隆超市</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南康区美祺副食店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南康区王功洲烟花爆竹店</w:t>
            </w:r>
          </w:p>
        </w:tc>
        <w:tc>
          <w:tcPr>
            <w:tcW w:w="14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烟花爆竹</w:t>
            </w:r>
          </w:p>
        </w:tc>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赣州市开源科技有限公司</w:t>
            </w:r>
          </w:p>
        </w:tc>
        <w:tc>
          <w:tcPr>
            <w:tcW w:w="1443"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赣州市正浩锡业有限公司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209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江西新南山科技有限公司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赣州集盛科技有限责任公司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江西国瓷博晶新材料科技有限公司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赣州市南康区圣塔新型建材有限公司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赣州康大新型环保建筑材料有限公司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赣州润豪混凝土有限公司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赣州市南康区泓泰混凝土有限公司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赣州康成商品混凝土有限公司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江西金富康新型墙材有限公司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江西华源新材料股份有限公司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219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赣州市沃博士建材有限公司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江西罗边玻纤有限公司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江西赣丰玻纤网有限公司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江西博川石材有限公司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江西明阳玻纤有限公司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赣州市南康区弘达电子有限公司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赣州爱康光电科技有限公司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江西三晶电气有限公司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江西基拓电气股份有限公司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赣州市沃能新能源有限公司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229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赣州市德普特科技有限公司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赣州市超越精密电子有限公司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格棱电子科技（赣州）有限公司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江西恩科科技有限公司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格能电子（赣州）有限公司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赣州山达士电子有限公司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江西正皓瑞森精密智能制造有限公司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赣州金泽制衣有限公司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江西康意服饰股份有限公司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赣州市南康区明盛服饰有限公司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239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赣州忠利达服饰有限公司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赣州市南康区源达羽绒有限公司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江西鸿发化纤制品有限公司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赣州市金东门化工有限公司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江西汇诺科技有限公司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江西万华海绵有限公司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江西东坚米业有限公司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赣州市南康区邱家粮油有限公司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赣州市南康区林康木业有限公司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江西前程新能源科技有限公司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249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江西森丰新能源科技有限公司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赣州市宏浩生物质能源有限公司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江西友家食品有限公司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赣州市南康区三欣包装材料有限公司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江西益大沥青材料制品有限公司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江西玖发专用车有限公司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江西宝华生物新能源有限公司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江西友家食品有限公司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江西千秋食品有限公司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江西瑞露塑胶五金制品有限公司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259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赣州市精印纸品包装有限公司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赣州华利纸品有限公司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江西巨丰纸品包装有限公司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赣州市金源纸品有限公司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工贸行业</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南康区龙回镇隆昌石料场</w:t>
            </w:r>
          </w:p>
        </w:tc>
        <w:tc>
          <w:tcPr>
            <w:tcW w:w="1443"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非煤矿山</w:t>
            </w:r>
          </w:p>
        </w:tc>
        <w:tc>
          <w:tcPr>
            <w:tcW w:w="111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赣州芳祯建材有限公司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非煤矿山</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南康区富隆花岗岩石材有限公司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非煤矿山</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南康区红心采石场</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非煤矿山</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南康区章坑寨林场平顺采石场</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非煤矿山</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南康区磊鑫石料有限公司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非煤矿山</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安监股</w:t>
            </w:r>
          </w:p>
        </w:tc>
        <w:tc>
          <w:tcPr>
            <w:tcW w:w="147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269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赣州市南康区鑫鸿油漆经销店</w:t>
            </w:r>
          </w:p>
        </w:tc>
        <w:tc>
          <w:tcPr>
            <w:tcW w:w="1443"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赣州市南康区彩匠油漆商行</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赣州市海枫汇拢化工有限公司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赣州市南康区三宏油漆经营部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赣州市南康区长盈化工有限公司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赣州市南康区荣东漆业经营部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赣州市南康区捷诺化工经营部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赣州鹏程兴业实业有限公司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赣州市三合新材料有限公司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赣州市南康区邦发油漆店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279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赣州市南康区澳科油漆店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赣州市南康区雅鹏化工经营部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赣州市南康区佳亿银河化工经营部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南康区励泓化工有限公司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赣州双和新材料有限公司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赣州市南康区高点油漆店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赣州市南康区利华油漆经销部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南康区路嘉胶经营部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赣州市南康区金美睿化工经营部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南康区龙华乡漆圣油漆店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289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赣州市南康区泓发油漆商行</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赣州市固王新材料有限公司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赣州市南康区林友油漆部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赣州市南康区鑫亿油漆经销店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赣州市南康区银和油漆经销部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赣州市南康区启胜化工贸易有</w:t>
            </w:r>
            <w:r>
              <w:rPr>
                <w:rFonts w:hint="eastAsia" w:ascii="仿宋_GB2312" w:hAnsi="宋体" w:eastAsia="仿宋_GB2312" w:cs="仿宋_GB2312"/>
                <w:i w:val="0"/>
                <w:iCs w:val="0"/>
                <w:color w:val="auto"/>
                <w:kern w:val="0"/>
                <w:sz w:val="24"/>
                <w:szCs w:val="24"/>
                <w:u w:val="none"/>
                <w:lang w:val="en-US" w:eastAsia="zh-CN" w:bidi="ar"/>
              </w:rPr>
              <w:br w:type="textWrapping"/>
            </w:r>
            <w:r>
              <w:rPr>
                <w:rFonts w:hint="eastAsia" w:ascii="仿宋_GB2312" w:hAnsi="宋体" w:eastAsia="仿宋_GB2312" w:cs="仿宋_GB2312"/>
                <w:i w:val="0"/>
                <w:iCs w:val="0"/>
                <w:color w:val="auto"/>
                <w:kern w:val="0"/>
                <w:sz w:val="24"/>
                <w:szCs w:val="24"/>
                <w:u w:val="none"/>
                <w:lang w:val="en-US" w:eastAsia="zh-CN" w:bidi="ar"/>
              </w:rPr>
              <w:t>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赣州首合化工贸易有限公司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赣州市南康区奥丽仕油漆经营部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江西长润新材料有限公司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赣州市南康区赢捷油漆经营部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299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赣州市南康区三森油漆经营部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江西飞亿化工有限公司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赣州市南康区富泽化工经销部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赣州润美化工贸易有限公司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赣州市南康区千叶松涂料店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赣州市南康区四季新化工经销部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赣州市南康区伟城油漆商行</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赣州市南康区合兴油漆经销部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赣州市南康区亮典油漆经营部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赣州市南康区奔德油漆经营部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309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赣州市南康区漆宝化工营业部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赣州市南康区森美化工店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赣州市南康区耀发油漆店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赣州市南康区祥瑞气体经营部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赣州市南康区靓雨杰油漆店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赣州市鑫百润环保科技有限公司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赣州市立士伯贸易有限公司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赣州市南康区威腾油漆经营部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赣州市南康区伟诚油漆商行</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赣州市南康区强联油漆经营部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319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赣州市南康区祥红油漆经营部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赣州市南康区彭龙油漆店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赣州市南康区洋冠化工油漆店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赣州市南康区浙诚化工经营部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赣州市南康区鑫诚油漆商行</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赣州展辰涂料有限公司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赣州市南康区名洋化工经营部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赣州市南康区完美化工经营部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赣州市明邦化工有限公司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赣州金概信化工贸易有限公司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329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赣州市南康区永盛化工贸易有限公司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赣州市南康区海之龙化工经营部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赣州市南康区富建化工有限公司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赣州市南康区鑫辉鸿化工营业部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赣州市南康区标业油漆店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赣州市南康区辉煌化工涂料经营部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赣州市南康区明辉气体经营部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赣州市南康区江投石油有限公司横市加油站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赣州市南康区富利化工涂料店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江西绿恩涂料有限公司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339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赣州市南康区冉盛化工有</w:t>
            </w:r>
            <w:r>
              <w:rPr>
                <w:rFonts w:hint="eastAsia" w:ascii="仿宋_GB2312" w:hAnsi="宋体" w:eastAsia="仿宋_GB2312" w:cs="仿宋_GB2312"/>
                <w:i w:val="0"/>
                <w:iCs w:val="0"/>
                <w:color w:val="auto"/>
                <w:kern w:val="0"/>
                <w:sz w:val="24"/>
                <w:szCs w:val="24"/>
                <w:u w:val="none"/>
                <w:lang w:val="en-US" w:eastAsia="zh-CN" w:bidi="ar"/>
              </w:rPr>
              <w:br w:type="textWrapping"/>
            </w:r>
            <w:r>
              <w:rPr>
                <w:rFonts w:hint="eastAsia" w:ascii="仿宋_GB2312" w:hAnsi="宋体" w:eastAsia="仿宋_GB2312" w:cs="仿宋_GB2312"/>
                <w:i w:val="0"/>
                <w:iCs w:val="0"/>
                <w:color w:val="auto"/>
                <w:kern w:val="0"/>
                <w:sz w:val="24"/>
                <w:szCs w:val="24"/>
                <w:u w:val="none"/>
                <w:lang w:val="en-US" w:eastAsia="zh-CN" w:bidi="ar"/>
              </w:rPr>
              <w:t>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赣州市南康区宝俪油漆经营部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赣州市南康区康富保化工有限</w:t>
            </w:r>
            <w:r>
              <w:rPr>
                <w:rFonts w:hint="eastAsia" w:ascii="仿宋_GB2312" w:hAnsi="宋体" w:eastAsia="仿宋_GB2312" w:cs="仿宋_GB2312"/>
                <w:i w:val="0"/>
                <w:iCs w:val="0"/>
                <w:color w:val="auto"/>
                <w:kern w:val="0"/>
                <w:sz w:val="24"/>
                <w:szCs w:val="24"/>
                <w:u w:val="none"/>
                <w:lang w:val="en-US" w:eastAsia="zh-CN" w:bidi="ar"/>
              </w:rPr>
              <w:br w:type="textWrapping"/>
            </w:r>
            <w:r>
              <w:rPr>
                <w:rFonts w:hint="eastAsia" w:ascii="仿宋_GB2312" w:hAnsi="宋体" w:eastAsia="仿宋_GB2312" w:cs="仿宋_GB2312"/>
                <w:i w:val="0"/>
                <w:iCs w:val="0"/>
                <w:color w:val="auto"/>
                <w:kern w:val="0"/>
                <w:sz w:val="24"/>
                <w:szCs w:val="24"/>
                <w:u w:val="none"/>
                <w:lang w:val="en-US" w:eastAsia="zh-CN" w:bidi="ar"/>
              </w:rPr>
              <w:t>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赣州市南康区镂锦钰铭科技有限公司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赣州市南康区天剑化工有限公司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赣州市启盛化工贸易有限公司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赣州市南康区得发化工有限公司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赣州市南康区器涂宝涂料经营部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赣州市南康区翔宇化工经营部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赣州市南康区天亿油漆经销部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349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赣州市南康区友成化工贸易</w:t>
            </w:r>
            <w:r>
              <w:rPr>
                <w:rFonts w:hint="eastAsia" w:ascii="仿宋_GB2312" w:hAnsi="宋体" w:eastAsia="仿宋_GB2312" w:cs="仿宋_GB2312"/>
                <w:i w:val="0"/>
                <w:iCs w:val="0"/>
                <w:color w:val="auto"/>
                <w:kern w:val="0"/>
                <w:sz w:val="24"/>
                <w:szCs w:val="24"/>
                <w:u w:val="none"/>
                <w:lang w:val="en-US" w:eastAsia="zh-CN" w:bidi="ar"/>
              </w:rPr>
              <w:br w:type="textWrapping"/>
            </w:r>
            <w:r>
              <w:rPr>
                <w:rFonts w:hint="eastAsia" w:ascii="仿宋_GB2312" w:hAnsi="宋体" w:eastAsia="仿宋_GB2312" w:cs="仿宋_GB2312"/>
                <w:i w:val="0"/>
                <w:iCs w:val="0"/>
                <w:color w:val="auto"/>
                <w:kern w:val="0"/>
                <w:sz w:val="24"/>
                <w:szCs w:val="24"/>
                <w:u w:val="none"/>
                <w:lang w:val="en-US" w:eastAsia="zh-CN" w:bidi="ar"/>
              </w:rPr>
              <w:t>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赣州市南康区启航涂料经营中心</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赣州市南康区南叶化工科技有限公司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赣州市南康区佳亿油漆经营部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赣州市南康区宇强化工经营部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赣州市南康区励泓化工有限公司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赣州市南康区三力化工有</w:t>
            </w:r>
            <w:r>
              <w:rPr>
                <w:rFonts w:hint="eastAsia" w:ascii="仿宋_GB2312" w:hAnsi="宋体" w:eastAsia="仿宋_GB2312" w:cs="仿宋_GB2312"/>
                <w:i w:val="0"/>
                <w:iCs w:val="0"/>
                <w:color w:val="auto"/>
                <w:kern w:val="0"/>
                <w:sz w:val="24"/>
                <w:szCs w:val="24"/>
                <w:u w:val="none"/>
                <w:lang w:val="en-US" w:eastAsia="zh-CN" w:bidi="ar"/>
              </w:rPr>
              <w:br w:type="textWrapping"/>
            </w:r>
            <w:r>
              <w:rPr>
                <w:rFonts w:hint="eastAsia" w:ascii="仿宋_GB2312" w:hAnsi="宋体" w:eastAsia="仿宋_GB2312" w:cs="仿宋_GB2312"/>
                <w:i w:val="0"/>
                <w:iCs w:val="0"/>
                <w:color w:val="auto"/>
                <w:kern w:val="0"/>
                <w:sz w:val="24"/>
                <w:szCs w:val="24"/>
                <w:u w:val="none"/>
                <w:lang w:val="en-US" w:eastAsia="zh-CN" w:bidi="ar"/>
              </w:rPr>
              <w:t>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江西木之友贸易有限公司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赣州市南康区蝶宝涂料服务中心</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赣州市南康区吉欣油漆经营部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359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赣州市南康区明华油漆店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赣州市南康区远华油漆店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赣州市南康区福特化工商行</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赣州市南康区美雅达油漆经营部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赣州市伊度巴化工有限公司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赣州市南康区长江万融化工涂料经营部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赣州市南康区金都选矿药剂店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赣州市亚丁贸易有限公司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赣州市南康区耀发油漆店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赣州市南康区鑫鹏化工商行</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369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赣州市南康区加宝化工经销部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赣州富升化工有限公司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赣州市南康区合兴化工经营部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广东蓝洋科技有限公司南康分公司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赣州市南康区天杰油漆经营部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赣州市南康区金艳油漆商行</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赣州市南康区中油城发石油销售有限公司桥口加油站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赣州市南康区绿康油漆店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赣州市南康区得发化工贸易有限公司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赣州市南康区霁虹涂料经销部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379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赣州市南康区福诚油漆商行</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赣州市南康区旺达化工经营部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赣州市南康区丽松化工经营部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赣州市南康区和兴工贸有限公司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赣州市南康区京元油漆经营部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赣州市南康区辉鸿油漆经营部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赣州市南康区新雅涂料有限公司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赣州市南康区鸿杉化工有限公司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赣州恩祥化工有限公司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赣州崇昱贸易有限公司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389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赣州市南康区吉成油漆营业部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赣州市南康区立春化工营业部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赣州市南康区四季化工经销部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赣州雨勋新材料有限公司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赣州市南康区澳熊油漆经营部</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赣州市南康区廖氏化工有限公司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赣州市南康区嘉鸿化工贸易有限公司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赣州市南康区唐之彩化工店</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赣州市南康区绿邦化工有限公司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赣州市志阳化工贸易有限公司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399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赣州万顺通气体有限公司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江西省赣州市南康区赤土虎岗石油有限公司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江西新天然能源石化有限公司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江西省赣州市南康区浮石乡贤女村</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赣州市南康区顺民加油站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赣州市南康区新兴加油站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赣州中惠置业有限公司南康中惠加油站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赣州市南康区蓝天加油站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赣州市南康区江投石油有限公司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赣州市南康区内潮老董加油站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409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赣州金富精细化工科技有限公司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赣州市南康区镜坝加油站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赣州市南康区唐中加油站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赣州市南康区太窝加油站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赣州市南康区隆木加油站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赣州市南康区唐南加油站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赣州市南康区新源石油天然气有限公司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赣州市南康区朱坊加油站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赣州市南康区华安加油站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赣州市南康区圩下加油站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419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江西欧沛克石油集团有限公司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赣州市南康区麻双加油站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赣州市南康区益通加油站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赣州市南康区金鑫工业气体有限公司</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中国石化销售股份有限公司江西赣州南康石油分公司城北加油站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中国石化销售股份有限公司江西赣州南康石油分公司城南加油站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中国石化销售股份有限公司江西赣州南康石油分公司城区加油站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中国石化销售股份有限公司江西赣州南康石油分公司东山油城</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中国石化销售股份有限公司江西赣州南康石油分公司赣丰加油站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中国石化销售股份有限公司江西赣州南康石油分公司横市加油站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429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中国石化销售股份有限公司江西赣州南康石油分公司横寨加油站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430</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中国石化销售股份有限公司江西赣州南康石油分公司龙回服务区东加油站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431</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中国石化销售股份有限公司江西赣州南康石油分公司龙回服务区西加油站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432</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中国石化销售股份有限公司江西赣州南康石油分公司龙回油城</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433</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中国石化销售股份有限公司江西赣州南康石油分公司龙岭加油站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434</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中国石化销售股份有限公司江西赣州南康石油分公司坪市加油站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435</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中国石化销售股份有限公司江西赣州南康石油分公司十八塘加油站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436</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中国石化销售股份有限公司江西赣州南康石油分公司增坑高速东区站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437</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中国石化销售股份有限公司江西赣州南康石油分公司增坑高速西区站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438</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赣州市南康区西华加油站</w:t>
            </w:r>
          </w:p>
        </w:tc>
        <w:tc>
          <w:tcPr>
            <w:tcW w:w="1443" w:type="dxa"/>
            <w:vAlign w:val="center"/>
          </w:tcPr>
          <w:p>
            <w:pPr>
              <w:keepNext w:val="0"/>
              <w:keepLines w:val="0"/>
              <w:widowControl/>
              <w:suppressLineNumbers w:val="0"/>
              <w:jc w:val="center"/>
              <w:textAlignment w:val="center"/>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危险化学品</w:t>
            </w:r>
          </w:p>
        </w:tc>
        <w:tc>
          <w:tcPr>
            <w:tcW w:w="1118" w:type="dxa"/>
            <w:vAlign w:val="center"/>
          </w:tcPr>
          <w:p>
            <w:pPr>
              <w:keepNext w:val="0"/>
              <w:keepLines w:val="0"/>
              <w:widowControl/>
              <w:suppressLineNumbers w:val="0"/>
              <w:jc w:val="center"/>
              <w:textAlignment w:val="center"/>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危化股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439</w:t>
            </w:r>
          </w:p>
        </w:tc>
        <w:tc>
          <w:tcPr>
            <w:tcW w:w="377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赣州市南康区安泰安全生产咨询服务有限公司</w:t>
            </w:r>
          </w:p>
        </w:tc>
        <w:tc>
          <w:tcPr>
            <w:tcW w:w="1443"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培训机构</w:t>
            </w:r>
          </w:p>
        </w:tc>
        <w:tc>
          <w:tcPr>
            <w:tcW w:w="1118"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政策法规股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auto"/>
                <w:kern w:val="0"/>
                <w:sz w:val="28"/>
                <w:szCs w:val="28"/>
                <w:vertAlign w:val="baseli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视情与大队联合检查</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color w:val="auto"/>
        </w:rPr>
      </w:pPr>
      <w:r>
        <w:rPr>
          <w:rFonts w:hint="eastAsia" w:ascii="方正小标宋简体" w:hAnsi="方正小标宋简体" w:eastAsia="方正小标宋简体" w:cs="方正小标宋简体"/>
          <w:color w:val="auto"/>
          <w:kern w:val="0"/>
          <w:sz w:val="43"/>
          <w:szCs w:val="43"/>
          <w:lang w:val="en-US" w:eastAsia="zh-CN" w:bidi="ar"/>
        </w:rPr>
        <w:t>2022年度防灾救灾监督检查计划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为持续深化应急管理综合行政执法改革，进一步落实防灾救灾领域监管执法职责，提升监管执法效能，根据《防汛条例》《森林防火条例》《自然灾害救助条例》等相关规定，按照《关于深化应急管理综合行政执法改革的实施方案》（赣办发〔2021〕19号）和江西省应急管理系统统一行政权力清单等要求，参照安全生产领域监督检查有关制度规定，结合我区防灾救灾工作实际，制定南康区应急管理局2022年度防灾救灾监督检查计划。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一、指导思想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以习近平新时代中国特色社会主义思想为指导，深入学习贯彻党的十九大和十九届历次全会精神，深入贯彻落实习近平法治思想和关于应急管理重要论述以及视察江西重要讲话精神，认真落实省第十五次党代会精神和区委、区政府决策部署，坚持“两个至上”，统筹“两件大事”，立足“两个根本”，通过开展防灾救灾监督检查工作，督促责任主体落实应急管理领域主体责任，有效防范化解应急管理领域安全风险，最大程度减轻灾害损失，为南康区经济社会发展创造良好安全环境，以优异成绩迎接党的二十大胜利召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二、工作目标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jc w:val="both"/>
        <w:textAlignment w:val="auto"/>
        <w:rPr>
          <w:color w:val="auto"/>
        </w:rPr>
      </w:pPr>
      <w:r>
        <w:rPr>
          <w:rFonts w:hint="eastAsia" w:ascii="仿宋_GB2312" w:hAnsi="宋体" w:eastAsia="仿宋_GB2312" w:cs="仿宋_GB2312"/>
          <w:color w:val="auto"/>
          <w:kern w:val="0"/>
          <w:sz w:val="31"/>
          <w:szCs w:val="31"/>
          <w:lang w:val="en-US" w:eastAsia="zh-CN" w:bidi="ar"/>
        </w:rPr>
        <w:t xml:space="preserve">围绕“大安全、大减灾、大应急”理念，通过创新编制实施年度防灾救灾领域监督检查计划，指导我局负有执法职能的内设机构及执法人员，依照防灾救灾领域法律、法规和标准，精准实施监督检查，切实督促被监督检查单位严格落实主体责任，依法严惩各类防灾救灾领域违法行为。同时，按照应急管理综合行政执法改革要求，对照省应急管理系统统一行政权力清单，履行应急管理部门在森林防灭火、水旱灾害、地质灾害等方面的监督检查职权。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三、监督检查计划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2022年，区应急管理局防灾救灾领域监督检查以专项监督检查形式开展。纳入区应急管理局防灾救灾专项监督检查计划的监管股室为区防灾减灾中心的森林灭火股、防汛抗旱股、物资保障和救灾救助股、防震减灾和地质灾害防治股。各监管股室及下属单位根据上级安排或监管工作实际，结合人员、时间、监督检查对象和内容等情况，可以单独开展也可以联合其他监管股室或其他部门共同开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 xml:space="preserve">（一）防汛抗旱监督检查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 xml:space="preserve">监督检查对象：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1.罗边、章惠渠水利枢纽工程</w:t>
      </w:r>
      <w:r>
        <w:rPr>
          <w:rFonts w:hint="eastAsia" w:ascii="仿宋_GB2312" w:hAnsi="宋体" w:eastAsia="仿宋_GB2312" w:cs="仿宋_GB2312"/>
          <w:b/>
          <w:bCs/>
          <w:color w:val="auto"/>
          <w:kern w:val="0"/>
          <w:sz w:val="31"/>
          <w:szCs w:val="31"/>
          <w:lang w:val="en-US" w:eastAsia="zh-CN" w:bidi="ar"/>
        </w:rPr>
        <w:t>（上半年）</w:t>
      </w:r>
      <w:r>
        <w:rPr>
          <w:rFonts w:hint="eastAsia" w:ascii="仿宋_GB2312" w:hAnsi="宋体" w:eastAsia="仿宋_GB2312" w:cs="仿宋_GB2312"/>
          <w:color w:val="auto"/>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2.龙岭特色小镇拦河坝、城区章水拦河坝</w:t>
      </w:r>
      <w:r>
        <w:rPr>
          <w:rFonts w:hint="eastAsia" w:ascii="仿宋_GB2312" w:hAnsi="宋体" w:eastAsia="仿宋_GB2312" w:cs="仿宋_GB2312"/>
          <w:b/>
          <w:bCs/>
          <w:color w:val="auto"/>
          <w:kern w:val="0"/>
          <w:sz w:val="31"/>
          <w:szCs w:val="31"/>
          <w:lang w:val="en-US" w:eastAsia="zh-CN" w:bidi="ar"/>
        </w:rPr>
        <w:t>（下半年）</w:t>
      </w:r>
      <w:r>
        <w:rPr>
          <w:rFonts w:ascii="仿宋_GB2312" w:hAnsi="宋体" w:eastAsia="仿宋_GB2312" w:cs="仿宋_GB2312"/>
          <w:b/>
          <w:bCs/>
          <w:color w:val="auto"/>
          <w:kern w:val="0"/>
          <w:sz w:val="31"/>
          <w:szCs w:val="31"/>
        </w:rPr>
        <w:t xml:space="preserve"> </w:t>
      </w:r>
    </w:p>
    <w:p>
      <w:pPr>
        <w:widowControl/>
        <w:spacing w:line="560" w:lineRule="exact"/>
        <w:ind w:firstLine="622" w:firstLineChars="200"/>
        <w:jc w:val="left"/>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b/>
          <w:bCs/>
          <w:color w:val="auto"/>
          <w:kern w:val="0"/>
          <w:sz w:val="31"/>
          <w:szCs w:val="31"/>
        </w:rPr>
        <w:t>监督检查内容：</w:t>
      </w:r>
      <w:r>
        <w:rPr>
          <w:rFonts w:hint="eastAsia" w:ascii="仿宋_GB2312" w:hAnsi="宋体" w:eastAsia="仿宋_GB2312" w:cs="仿宋_GB2312"/>
          <w:color w:val="auto"/>
          <w:kern w:val="0"/>
          <w:sz w:val="31"/>
          <w:szCs w:val="31"/>
          <w:lang w:val="en-US" w:eastAsia="zh-CN" w:bidi="ar"/>
        </w:rPr>
        <w:t xml:space="preserve">防汛责任人落实情况，度汛方案、应急抢险预案、抢险队伍、防汛物资等度汛措施落实情况，水库调度运行情况；电站安全运行情况。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b w:val="0"/>
          <w:bCs w:val="0"/>
          <w:color w:val="auto"/>
          <w:kern w:val="0"/>
          <w:sz w:val="31"/>
          <w:szCs w:val="31"/>
          <w:lang w:val="en-US" w:eastAsia="zh-CN" w:bidi="ar"/>
        </w:rPr>
        <w:t xml:space="preserve"> </w:t>
      </w:r>
      <w:r>
        <w:rPr>
          <w:rFonts w:hint="eastAsia" w:ascii="仿宋_GB2312" w:hAnsi="宋体" w:eastAsia="仿宋_GB2312" w:cs="仿宋_GB2312"/>
          <w:b/>
          <w:bCs/>
          <w:color w:val="auto"/>
          <w:kern w:val="0"/>
          <w:sz w:val="31"/>
          <w:szCs w:val="31"/>
          <w:lang w:val="en-US" w:eastAsia="zh-CN" w:bidi="ar"/>
        </w:rPr>
        <w:t>监督检查方式：</w:t>
      </w:r>
      <w:r>
        <w:rPr>
          <w:rFonts w:hint="eastAsia" w:ascii="仿宋_GB2312" w:hAnsi="宋体" w:eastAsia="仿宋_GB2312" w:cs="仿宋_GB2312"/>
          <w:color w:val="auto"/>
          <w:kern w:val="0"/>
          <w:sz w:val="31"/>
          <w:szCs w:val="31"/>
          <w:lang w:val="en-US" w:eastAsia="zh-CN" w:bidi="ar"/>
        </w:rPr>
        <w:t xml:space="preserve">会同相关部门开展联合监督检查。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 xml:space="preserve">（二）森林防灭火监督检查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 xml:space="preserve">监督检查对象：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b/>
          <w:bCs/>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1.南康区南山森林公园</w:t>
      </w:r>
      <w:r>
        <w:rPr>
          <w:rFonts w:hint="eastAsia" w:ascii="仿宋_GB2312" w:hAnsi="宋体" w:eastAsia="仿宋_GB2312" w:cs="仿宋_GB2312"/>
          <w:b/>
          <w:bCs/>
          <w:color w:val="auto"/>
          <w:kern w:val="0"/>
          <w:sz w:val="31"/>
          <w:szCs w:val="31"/>
          <w:lang w:val="en-US" w:eastAsia="zh-CN" w:bidi="ar"/>
        </w:rPr>
        <w:t xml:space="preserve">（上半年）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b/>
          <w:bCs/>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2.南康区大山脑森林公园</w:t>
      </w:r>
      <w:r>
        <w:rPr>
          <w:rFonts w:hint="eastAsia" w:ascii="仿宋_GB2312" w:hAnsi="宋体" w:eastAsia="仿宋_GB2312" w:cs="仿宋_GB2312"/>
          <w:b/>
          <w:bCs/>
          <w:color w:val="auto"/>
          <w:kern w:val="0"/>
          <w:sz w:val="31"/>
          <w:szCs w:val="31"/>
          <w:lang w:val="en-US" w:eastAsia="zh-CN" w:bidi="ar"/>
        </w:rPr>
        <w:t xml:space="preserve">（下半年）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监督检查内容：</w:t>
      </w:r>
      <w:r>
        <w:rPr>
          <w:rFonts w:hint="eastAsia" w:ascii="仿宋_GB2312" w:hAnsi="宋体" w:eastAsia="仿宋_GB2312" w:cs="仿宋_GB2312"/>
          <w:color w:val="auto"/>
          <w:kern w:val="0"/>
          <w:sz w:val="31"/>
          <w:szCs w:val="31"/>
          <w:lang w:val="en-US" w:eastAsia="zh-CN" w:bidi="ar"/>
        </w:rPr>
        <w:t xml:space="preserve">森林经营管理单位森林防灭火责任落实、宣传教育、野外火源管控、隐患排查治理等情况，森林火灾应急预案与演练、扑火队伍建设、扑火物资储备等应急救援准备情况。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监督检查方式：</w:t>
      </w:r>
      <w:r>
        <w:rPr>
          <w:rFonts w:hint="eastAsia" w:ascii="仿宋_GB2312" w:hAnsi="宋体" w:eastAsia="仿宋_GB2312" w:cs="仿宋_GB2312"/>
          <w:color w:val="auto"/>
          <w:kern w:val="0"/>
          <w:sz w:val="31"/>
          <w:szCs w:val="31"/>
          <w:lang w:val="en-US" w:eastAsia="zh-CN" w:bidi="ar"/>
        </w:rPr>
        <w:t xml:space="preserve">会同相关部门开展联合监督检查。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 xml:space="preserve">（三）地震地质监督检查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 xml:space="preserve">监督检查对象：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1.第九中学二期工程、众和医院</w:t>
      </w:r>
      <w:r>
        <w:rPr>
          <w:rFonts w:hint="eastAsia" w:ascii="仿宋_GB2312" w:hAnsi="宋体" w:eastAsia="仿宋_GB2312" w:cs="仿宋_GB2312"/>
          <w:b/>
          <w:bCs/>
          <w:color w:val="auto"/>
          <w:kern w:val="0"/>
          <w:sz w:val="31"/>
          <w:szCs w:val="31"/>
          <w:lang w:val="en-US" w:eastAsia="zh-CN" w:bidi="ar"/>
        </w:rPr>
        <w:t xml:space="preserve">（上半年）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2.弘德医院、第四幼儿园</w:t>
      </w:r>
      <w:r>
        <w:rPr>
          <w:rFonts w:hint="eastAsia" w:ascii="仿宋_GB2312" w:hAnsi="宋体" w:eastAsia="仿宋_GB2312" w:cs="仿宋_GB2312"/>
          <w:b/>
          <w:bCs/>
          <w:color w:val="auto"/>
          <w:kern w:val="0"/>
          <w:sz w:val="31"/>
          <w:szCs w:val="31"/>
          <w:lang w:val="en-US" w:eastAsia="zh-CN" w:bidi="ar"/>
        </w:rPr>
        <w:t xml:space="preserve">（下半年）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监督检查内容：</w:t>
      </w:r>
      <w:r>
        <w:rPr>
          <w:rFonts w:hint="eastAsia" w:ascii="仿宋_GB2312" w:hAnsi="宋体" w:eastAsia="仿宋_GB2312" w:cs="仿宋_GB2312"/>
          <w:color w:val="auto"/>
          <w:kern w:val="0"/>
          <w:sz w:val="31"/>
          <w:szCs w:val="31"/>
          <w:lang w:val="en-US" w:eastAsia="zh-CN" w:bidi="ar"/>
        </w:rPr>
        <w:t xml:space="preserve">对建设施工单位是否依法进行地震安全性评价，是否按照地震安全性评价报告或相关规定所确定的抗震设防要求进行抗震设防进行监督检查。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监督检查方式：</w:t>
      </w:r>
      <w:r>
        <w:rPr>
          <w:rFonts w:hint="eastAsia" w:ascii="仿宋_GB2312" w:hAnsi="宋体" w:eastAsia="仿宋_GB2312" w:cs="仿宋_GB2312"/>
          <w:color w:val="auto"/>
          <w:kern w:val="0"/>
          <w:sz w:val="31"/>
          <w:szCs w:val="31"/>
          <w:lang w:val="en-US" w:eastAsia="zh-CN" w:bidi="ar"/>
        </w:rPr>
        <w:t xml:space="preserve">会同相关部门开展联合监督检查。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 xml:space="preserve">（四）救灾和物资保障监督检查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 xml:space="preserve">监督检查对象：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1.对上半年已下拨自然灾害救助款物地区的单位和个人</w:t>
      </w:r>
      <w:r>
        <w:rPr>
          <w:rFonts w:hint="eastAsia" w:ascii="仿宋_GB2312" w:hAnsi="宋体" w:eastAsia="仿宋_GB2312" w:cs="仿宋_GB2312"/>
          <w:b/>
          <w:bCs/>
          <w:color w:val="auto"/>
          <w:kern w:val="0"/>
          <w:sz w:val="31"/>
          <w:szCs w:val="31"/>
          <w:lang w:val="en-US" w:eastAsia="zh-CN" w:bidi="ar"/>
        </w:rPr>
        <w:t xml:space="preserve">（上半年）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监督检查内容：</w:t>
      </w:r>
      <w:r>
        <w:rPr>
          <w:rFonts w:hint="eastAsia" w:ascii="仿宋_GB2312" w:hAnsi="宋体" w:eastAsia="仿宋_GB2312" w:cs="仿宋_GB2312"/>
          <w:color w:val="auto"/>
          <w:kern w:val="0"/>
          <w:sz w:val="31"/>
          <w:szCs w:val="31"/>
          <w:lang w:val="en-US" w:eastAsia="zh-CN" w:bidi="ar"/>
        </w:rPr>
        <w:t xml:space="preserve">对单位或个人是否存在虚报、隐瞒、伪造等手段，骗取自然灾害救助款物或者捐赠款物情况以及自然灾害救助款物下拨及发放是否符合规定程序、资金发放数额是否符合规定标准、资金使用是否符合规定范围等情况进行监督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监督检查方式：</w:t>
      </w:r>
      <w:r>
        <w:rPr>
          <w:rFonts w:hint="eastAsia" w:ascii="仿宋_GB2312" w:hAnsi="宋体" w:eastAsia="仿宋_GB2312" w:cs="仿宋_GB2312"/>
          <w:color w:val="auto"/>
          <w:kern w:val="0"/>
          <w:sz w:val="31"/>
          <w:szCs w:val="31"/>
          <w:lang w:val="en-US" w:eastAsia="zh-CN" w:bidi="ar"/>
        </w:rPr>
        <w:t xml:space="preserve">单独或会同相关股室开展联合监督检查。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四、有关要求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（一）加强组织领导。</w:t>
      </w:r>
      <w:r>
        <w:rPr>
          <w:rFonts w:hint="eastAsia" w:ascii="仿宋_GB2312" w:hAnsi="宋体" w:eastAsia="仿宋_GB2312" w:cs="仿宋_GB2312"/>
          <w:color w:val="auto"/>
          <w:kern w:val="0"/>
          <w:sz w:val="31"/>
          <w:szCs w:val="31"/>
          <w:lang w:val="en-US" w:eastAsia="zh-CN" w:bidi="ar"/>
        </w:rPr>
        <w:t xml:space="preserve">防灾救灾监督检查计划的制定和实施既是履行应急管理部门的法定职责，也是落实应急管理综合行政执法改革要求的应有之义，对于规范和促进应急管理领域监管执法工作具有重要意义。各监管股室及下属单位要高度重视，主动加强相关法规政策、执法业务知识的学习，努力提升执法水平，确保监督检查计划得到有效实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（二）切实规范执法。</w:t>
      </w:r>
      <w:r>
        <w:rPr>
          <w:rFonts w:hint="eastAsia" w:ascii="仿宋_GB2312" w:hAnsi="宋体" w:eastAsia="仿宋_GB2312" w:cs="仿宋_GB2312"/>
          <w:color w:val="auto"/>
          <w:kern w:val="0"/>
          <w:sz w:val="31"/>
          <w:szCs w:val="31"/>
          <w:lang w:val="en-US" w:eastAsia="zh-CN" w:bidi="ar"/>
        </w:rPr>
        <w:t xml:space="preserve">各监管股室及下属单位在开展监督检查前要参照安全生产监督检查文书样式制定现场检查方案（包括被检查对象名称、地址、联系人、检查时间、行政执法人员、检查内容、检查方式等信息），开展监督检查时要亮证执法，检查完毕要制作现场检查记录，对于发现违法违规行为属于本部门管辖的要及时予以查处，对于其部门管辖的要及时移交进行处理，落实执法闭环管理。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jc w:val="both"/>
        <w:textAlignment w:val="auto"/>
        <w:rPr>
          <w:color w:val="auto"/>
        </w:rPr>
      </w:pPr>
      <w:r>
        <w:rPr>
          <w:rFonts w:ascii="楷体_GB2312" w:hAnsi="楷体_GB2312" w:eastAsia="楷体_GB2312" w:cs="楷体_GB2312"/>
          <w:b/>
          <w:bCs/>
          <w:color w:val="auto"/>
          <w:kern w:val="0"/>
          <w:sz w:val="31"/>
          <w:szCs w:val="31"/>
          <w:lang w:val="en-US" w:eastAsia="zh-CN" w:bidi="ar"/>
        </w:rPr>
        <w:t>（三）强化宣传服务。</w:t>
      </w:r>
      <w:r>
        <w:rPr>
          <w:rFonts w:hint="eastAsia" w:ascii="仿宋_GB2312" w:hAnsi="宋体" w:eastAsia="仿宋_GB2312" w:cs="仿宋_GB2312"/>
          <w:color w:val="auto"/>
          <w:kern w:val="0"/>
          <w:sz w:val="31"/>
          <w:szCs w:val="31"/>
          <w:lang w:val="en-US" w:eastAsia="zh-CN" w:bidi="ar"/>
        </w:rPr>
        <w:t xml:space="preserve">各监管股室及下属单位要按照“谁执法谁普法”要求，把防灾救灾领域法律法规的宣传教育融入监督检查全过程，结合监督检查发现问题进行充分释法说理，说清阐明相关法律依据和救济途径，提高宣传教育的实际效果，增强社会公众的应急管理法治意识和水平。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color w:val="auto"/>
        </w:rPr>
      </w:pPr>
      <w:r>
        <w:rPr>
          <w:rFonts w:hint="eastAsia" w:ascii="方正小标宋简体" w:hAnsi="方正小标宋简体" w:eastAsia="方正小标宋简体" w:cs="方正小标宋简体"/>
          <w:color w:val="auto"/>
          <w:kern w:val="0"/>
          <w:sz w:val="43"/>
          <w:szCs w:val="43"/>
          <w:lang w:val="en-US" w:eastAsia="zh-CN" w:bidi="ar"/>
        </w:rPr>
        <w:t>2022年度综合行政执法监督计划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为进一步规范应急管理综合行政执法行为，督促全区应急管理综合行政执法人员依法履行执法职责，持续推进严格规范公正文明精准执法，有力确保区应急管理局年度监督检查计划完成和应急管理综合行政执法集中行动有效开展，制定南康区应急管理局2022年度综合行政执法监督计划。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一、总体要求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以习近平新时代中国特色社会主义思想为指导，深入贯彻落实习近平法治思想和习近平总书记关于应急管理重要论述，坚持人民至上、生命至上，立足“作示范、勇争先”目标定位，切实提高政治站位，用法治思维和法治方式解决执法领域突出问题，实施严格精准的执法监督，促进区应急管理系统执法质量和执法效能“双提升”，为实现高水平安全和高质量发展良性互动提供有力执法监督保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二、工作目标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通过制定和实施应急管理综合行政执法监督计划，聚焦应急管理综合行政执法集中行动，强化区应急管理系统执法人员的依法行政理念，发挥示范执法带动作用，从严从实从细开展监督检查工作，督促落实执法闭环管理、依法实施行政处罚和行政强制，切实解决多层多头重复执法和“只检查不执法、只执法不处罚”、“屡罚不改、屡禁不止”等执法“宽松软”问题，确保应急管理综合行政执法集中行动“五个 100%”目标完成，推动我区应急管理综合行政执法改革各项任务目标落实落地。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三、主要内容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（一）执法制度建立情况。</w:t>
      </w:r>
      <w:r>
        <w:rPr>
          <w:rFonts w:hint="eastAsia" w:ascii="仿宋_GB2312" w:hAnsi="宋体" w:eastAsia="仿宋_GB2312" w:cs="仿宋_GB2312"/>
          <w:color w:val="auto"/>
          <w:kern w:val="0"/>
          <w:sz w:val="31"/>
          <w:szCs w:val="31"/>
          <w:lang w:val="en-US" w:eastAsia="zh-CN" w:bidi="ar"/>
        </w:rPr>
        <w:t xml:space="preserve">落实行政执法“三项制度”并建立健全行政执法其他有关制度；按照规定的范围和时限，及时主动向社会公开有关执法情况以及行政强制、行政处罚结果信息等。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（二）年度监督检查计划情况</w:t>
      </w:r>
      <w:r>
        <w:rPr>
          <w:rFonts w:hint="eastAsia" w:ascii="仿宋_GB2312" w:hAnsi="宋体" w:eastAsia="仿宋_GB2312" w:cs="仿宋_GB2312"/>
          <w:color w:val="auto"/>
          <w:kern w:val="0"/>
          <w:sz w:val="31"/>
          <w:szCs w:val="31"/>
          <w:lang w:val="en-US" w:eastAsia="zh-CN" w:bidi="ar"/>
        </w:rPr>
        <w:t xml:space="preserve">。严格按照《江西省应急管理厅办公室关于做好 2022 年度全省安全生产监督检查计划编制工作的通知》要求，编制和执行安全生产年度监督检查计划情况等。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（三）现场执法检查情况。</w:t>
      </w:r>
      <w:r>
        <w:rPr>
          <w:rFonts w:hint="eastAsia" w:ascii="仿宋_GB2312" w:hAnsi="宋体" w:eastAsia="仿宋_GB2312" w:cs="仿宋_GB2312"/>
          <w:color w:val="auto"/>
          <w:kern w:val="0"/>
          <w:sz w:val="31"/>
          <w:szCs w:val="31"/>
          <w:lang w:val="en-US" w:eastAsia="zh-CN" w:bidi="ar"/>
        </w:rPr>
        <w:t xml:space="preserve">按照法律授权对执法权力清单内事项执法；全面落实行政执法规范化有关要求，聚焦执法检查重点事项制定现场检查方案，运用“互联网+执法”等系统线上执法，针对发现的问题隐患按要求下达执法文书等。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hint="eastAsia" w:ascii="仿宋_GB2312" w:hAnsi="宋体" w:eastAsia="仿宋_GB2312" w:cs="仿宋_GB2312"/>
          <w:b/>
          <w:bCs/>
          <w:color w:val="auto"/>
          <w:kern w:val="0"/>
          <w:sz w:val="31"/>
          <w:szCs w:val="31"/>
          <w:lang w:val="en-US" w:eastAsia="zh-CN" w:bidi="ar"/>
        </w:rPr>
        <w:t>（</w:t>
      </w:r>
      <w:r>
        <w:rPr>
          <w:rFonts w:ascii="楷体_GB2312" w:hAnsi="楷体_GB2312" w:eastAsia="楷体_GB2312" w:cs="楷体_GB2312"/>
          <w:b/>
          <w:bCs/>
          <w:color w:val="auto"/>
          <w:kern w:val="0"/>
          <w:sz w:val="31"/>
          <w:szCs w:val="31"/>
          <w:lang w:val="en-US" w:eastAsia="zh-CN" w:bidi="ar"/>
        </w:rPr>
        <w:t>四）案件办理情况。</w:t>
      </w:r>
      <w:r>
        <w:rPr>
          <w:rFonts w:hint="eastAsia" w:ascii="仿宋_GB2312" w:hAnsi="宋体" w:eastAsia="仿宋_GB2312" w:cs="仿宋_GB2312"/>
          <w:color w:val="auto"/>
          <w:kern w:val="0"/>
          <w:sz w:val="31"/>
          <w:szCs w:val="31"/>
          <w:lang w:val="en-US" w:eastAsia="zh-CN" w:bidi="ar"/>
        </w:rPr>
        <w:t xml:space="preserve">按照事实清楚、证据确凿、依据正确、定性准确、处罚适当、程序合法等要求查办案件，落实告知、听证、法制审核、集体讨论等制度规定，并将典型执法案例按要求报送等。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（五）行刑衔接情况。</w:t>
      </w:r>
      <w:r>
        <w:rPr>
          <w:rFonts w:hint="eastAsia" w:ascii="仿宋_GB2312" w:hAnsi="宋体" w:eastAsia="仿宋_GB2312" w:cs="仿宋_GB2312"/>
          <w:color w:val="auto"/>
          <w:kern w:val="0"/>
          <w:sz w:val="31"/>
          <w:szCs w:val="31"/>
          <w:lang w:val="en-US" w:eastAsia="zh-CN" w:bidi="ar"/>
        </w:rPr>
        <w:t xml:space="preserve">执法中发现生产经营单位及其从业人员涉嫌安全生产犯罪的，依照有关规定向司法机关移送案件等。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（六）作风纪律情况。</w:t>
      </w:r>
      <w:r>
        <w:rPr>
          <w:rFonts w:hint="eastAsia" w:ascii="仿宋_GB2312" w:hAnsi="宋体" w:eastAsia="仿宋_GB2312" w:cs="仿宋_GB2312"/>
          <w:color w:val="auto"/>
          <w:kern w:val="0"/>
          <w:sz w:val="31"/>
          <w:szCs w:val="31"/>
          <w:lang w:val="en-US" w:eastAsia="zh-CN" w:bidi="ar"/>
        </w:rPr>
        <w:t xml:space="preserve">严格按照中央八项规定精神和《中国共产党廉洁自律准则》等开展执法工作。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（七）队伍建设情况。</w:t>
      </w:r>
      <w:r>
        <w:rPr>
          <w:rFonts w:hint="eastAsia" w:ascii="仿宋_GB2312" w:hAnsi="宋体" w:eastAsia="仿宋_GB2312" w:cs="仿宋_GB2312"/>
          <w:color w:val="auto"/>
          <w:kern w:val="0"/>
          <w:sz w:val="31"/>
          <w:szCs w:val="31"/>
          <w:lang w:val="en-US" w:eastAsia="zh-CN" w:bidi="ar"/>
        </w:rPr>
        <w:t xml:space="preserve">建立应急管理综合行政执法队伍，落实执法经费保障，配备执法装备并进行使用与管理；严格执法资格管理，落实持证上岗要求，定期对执法队伍和执法人员开展培训考核等。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（八）应急管理综合行政执法集中行动开展情况。</w:t>
      </w:r>
      <w:r>
        <w:rPr>
          <w:rFonts w:hint="eastAsia" w:ascii="仿宋_GB2312" w:hAnsi="宋体" w:eastAsia="仿宋_GB2312" w:cs="仿宋_GB2312"/>
          <w:color w:val="auto"/>
          <w:kern w:val="0"/>
          <w:sz w:val="31"/>
          <w:szCs w:val="31"/>
          <w:lang w:val="en-US" w:eastAsia="zh-CN" w:bidi="ar"/>
        </w:rPr>
        <w:t xml:space="preserve">按照要求细化工作方案、广泛宣传、健全工作机制，分阶段组织开展业务大培训、示范执法、联合执法活动等情况。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四、执法监督计划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仿宋_GB2312" w:hAnsi="宋体" w:eastAsia="仿宋_GB2312" w:cs="仿宋_GB2312"/>
          <w:color w:val="auto"/>
          <w:kern w:val="0"/>
          <w:sz w:val="31"/>
          <w:szCs w:val="31"/>
          <w:lang w:val="en-US" w:eastAsia="zh-CN" w:bidi="ar"/>
        </w:rPr>
        <w:t xml:space="preserve">围绕安全生产基本盘，督促相关股室及下属单位编制并执行年度监督检查计划，结合应急管理综合行政执法集中行动，通过日常监督、专项检查、案件评议、执法比武、示范执法等形式开展执法监督；同时，全过程指导防灾救灾领域开展监督检查工作，规范相关执法行为，严格执法程序，落实应急管理综合行政执法改革要求，力促形成职责理顺清晰、水平规范高效的执法体制机制。具体执法监督计划详见附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五、有关要求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jc w:val="both"/>
        <w:textAlignment w:val="auto"/>
        <w:rPr>
          <w:rFonts w:hint="eastAsia" w:ascii="仿宋_GB2312" w:hAnsi="仿宋_GB2312" w:eastAsia="仿宋_GB2312" w:cs="仿宋_GB2312"/>
          <w:color w:val="auto"/>
          <w:sz w:val="32"/>
          <w:szCs w:val="32"/>
          <w:lang w:val="en-US" w:eastAsia="zh-CN"/>
        </w:rPr>
      </w:pPr>
      <w:r>
        <w:rPr>
          <w:rFonts w:ascii="楷体_GB2312" w:hAnsi="楷体_GB2312" w:eastAsia="楷体_GB2312" w:cs="楷体_GB2312"/>
          <w:b/>
          <w:bCs/>
          <w:color w:val="auto"/>
          <w:kern w:val="0"/>
          <w:sz w:val="31"/>
          <w:szCs w:val="31"/>
          <w:lang w:val="en-US" w:eastAsia="zh-CN" w:bidi="ar"/>
        </w:rPr>
        <w:t>（一）加强组织领导。</w:t>
      </w:r>
      <w:r>
        <w:rPr>
          <w:rFonts w:hint="eastAsia" w:ascii="仿宋_GB2312" w:hAnsi="宋体" w:eastAsia="仿宋_GB2312" w:cs="仿宋_GB2312"/>
          <w:color w:val="auto"/>
          <w:kern w:val="0"/>
          <w:sz w:val="31"/>
          <w:szCs w:val="31"/>
          <w:lang w:val="en-US" w:eastAsia="zh-CN" w:bidi="ar"/>
        </w:rPr>
        <w:t>宣传教育和预案管理股负责区应急管理局综合执法监督计划的编制实施、统一调度和监督指导等综合性工作；各有关监管股室负责各自监管领域内的执法监督具体工作，在</w:t>
      </w:r>
      <w:r>
        <w:rPr>
          <w:rFonts w:hint="eastAsia" w:ascii="仿宋_GB2312" w:hAnsi="仿宋_GB2312" w:eastAsia="仿宋_GB2312" w:cs="仿宋_GB2312"/>
          <w:color w:val="auto"/>
          <w:sz w:val="32"/>
          <w:szCs w:val="32"/>
          <w:lang w:val="en-US" w:eastAsia="zh-CN"/>
        </w:rPr>
        <w:t>进行监督检查、督导调研、明查暗访等工作时一并开展执法监督；要组织对</w:t>
      </w:r>
      <w:r>
        <w:rPr>
          <w:rFonts w:hint="eastAsia" w:ascii="仿宋_GB2312" w:hAnsi="宋体" w:eastAsia="仿宋_GB2312" w:cs="仿宋_GB2312"/>
          <w:color w:val="auto"/>
          <w:kern w:val="0"/>
          <w:sz w:val="31"/>
          <w:szCs w:val="31"/>
          <w:lang w:val="en-US" w:eastAsia="zh-CN" w:bidi="ar"/>
        </w:rPr>
        <w:t>有关股室、</w:t>
      </w:r>
      <w:r>
        <w:rPr>
          <w:rFonts w:hint="eastAsia" w:ascii="仿宋_GB2312" w:hAnsi="仿宋_GB2312" w:eastAsia="仿宋_GB2312" w:cs="仿宋_GB2312"/>
          <w:color w:val="auto"/>
          <w:sz w:val="32"/>
          <w:szCs w:val="32"/>
          <w:lang w:val="en-US" w:eastAsia="zh-CN"/>
        </w:rPr>
        <w:t xml:space="preserve">区应急管理综合执法大队或乡（镇、街道）开展执法监督工作。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jc w:val="both"/>
        <w:textAlignment w:val="auto"/>
        <w:rPr>
          <w:color w:val="auto"/>
        </w:rPr>
      </w:pPr>
      <w:r>
        <w:rPr>
          <w:rFonts w:hint="eastAsia" w:ascii="楷体_GB2312" w:hAnsi="楷体_GB2312" w:eastAsia="楷体_GB2312" w:cs="楷体_GB2312"/>
          <w:b/>
          <w:bCs/>
          <w:color w:val="auto"/>
          <w:kern w:val="0"/>
          <w:sz w:val="31"/>
          <w:szCs w:val="31"/>
          <w:lang w:val="en-US" w:eastAsia="zh-CN" w:bidi="ar"/>
        </w:rPr>
        <w:t>（二）健全监督机制。</w:t>
      </w:r>
      <w:r>
        <w:rPr>
          <w:rFonts w:hint="eastAsia" w:ascii="仿宋_GB2312" w:hAnsi="宋体" w:eastAsia="仿宋_GB2312" w:cs="仿宋_GB2312"/>
          <w:color w:val="auto"/>
          <w:kern w:val="0"/>
          <w:sz w:val="31"/>
          <w:szCs w:val="31"/>
          <w:lang w:val="en-US" w:eastAsia="zh-CN" w:bidi="ar"/>
        </w:rPr>
        <w:t>局机关宣传教育和预案管理股</w:t>
      </w:r>
      <w:r>
        <w:rPr>
          <w:rFonts w:hint="eastAsia" w:ascii="仿宋_GB2312" w:hAnsi="仿宋_GB2312" w:eastAsia="仿宋_GB2312" w:cs="仿宋_GB2312"/>
          <w:color w:val="auto"/>
          <w:sz w:val="32"/>
          <w:szCs w:val="32"/>
          <w:lang w:val="en-US" w:eastAsia="zh-CN"/>
        </w:rPr>
        <w:t>要督促有关股室、下属单位和乡（镇）对标建立“监督权威高效、惩治深入彻底”监督机制的目标要求，结合工作实际，不断优化完善执法监督机制，制定有针对性的执法监督计划；在开展执法监督时要做好谋划部署，结合日常监督检查、专项监督检</w:t>
      </w:r>
      <w:r>
        <w:rPr>
          <w:rFonts w:hint="eastAsia" w:ascii="仿宋_GB2312" w:hAnsi="宋体" w:eastAsia="仿宋_GB2312" w:cs="仿宋_GB2312"/>
          <w:color w:val="auto"/>
          <w:kern w:val="0"/>
          <w:sz w:val="31"/>
          <w:szCs w:val="31"/>
          <w:lang w:val="en-US" w:eastAsia="zh-CN" w:bidi="ar"/>
        </w:rPr>
        <w:t xml:space="preserve">查等工作特点，探索相应执法监督方式，量化目标任务，实行挂图作战，提高执法监督的实效性和针对性。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color w:val="auto"/>
        </w:rPr>
      </w:pPr>
      <w:r>
        <w:rPr>
          <w:rFonts w:ascii="楷体_GB2312" w:hAnsi="楷体_GB2312" w:eastAsia="楷体_GB2312" w:cs="楷体_GB2312"/>
          <w:b/>
          <w:bCs/>
          <w:color w:val="auto"/>
          <w:kern w:val="0"/>
          <w:sz w:val="31"/>
          <w:szCs w:val="31"/>
          <w:lang w:val="en-US" w:eastAsia="zh-CN" w:bidi="ar"/>
        </w:rPr>
        <w:t>（三）提升监督效能。</w:t>
      </w:r>
      <w:r>
        <w:rPr>
          <w:rFonts w:hint="eastAsia" w:ascii="仿宋_GB2312" w:hAnsi="宋体" w:eastAsia="仿宋_GB2312" w:cs="仿宋_GB2312"/>
          <w:color w:val="auto"/>
          <w:kern w:val="0"/>
          <w:sz w:val="31"/>
          <w:szCs w:val="31"/>
          <w:lang w:val="en-US" w:eastAsia="zh-CN" w:bidi="ar"/>
        </w:rPr>
        <w:t>对在执法监督过程中发现</w:t>
      </w:r>
      <w:r>
        <w:rPr>
          <w:rFonts w:hint="eastAsia" w:ascii="仿宋_GB2312" w:hAnsi="仿宋_GB2312" w:eastAsia="仿宋_GB2312" w:cs="仿宋_GB2312"/>
          <w:color w:val="auto"/>
          <w:sz w:val="32"/>
          <w:szCs w:val="32"/>
          <w:lang w:val="en-US" w:eastAsia="zh-CN"/>
        </w:rPr>
        <w:t>有关股室、下属单位和乡（镇）</w:t>
      </w:r>
      <w:r>
        <w:rPr>
          <w:rFonts w:hint="eastAsia" w:ascii="仿宋_GB2312" w:hAnsi="宋体" w:eastAsia="仿宋_GB2312" w:cs="仿宋_GB2312"/>
          <w:color w:val="auto"/>
          <w:kern w:val="0"/>
          <w:sz w:val="31"/>
          <w:szCs w:val="31"/>
          <w:lang w:val="en-US" w:eastAsia="zh-CN" w:bidi="ar"/>
        </w:rPr>
        <w:t xml:space="preserve">在执法工作中存在的问题和不足，要严格按照《江西省应急管理综合行政执法监督办法（试行）》规定，下达《行政执法监督通知书》或《行政执法监督整改通知书》，列明有关依据，责令依法改正，并跟踪督促整改落实情况；同时，结合执法集中行动有关要求，定期对我区应急管理系统执法监督工作情况进行通报，压实责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 xml:space="preserve">附件：2022 年度综合行政执法监督计划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color w:val="auto"/>
        </w:rPr>
      </w:pPr>
      <w:r>
        <w:rPr>
          <w:rFonts w:hint="eastAsia" w:ascii="黑体" w:hAnsi="宋体" w:eastAsia="黑体" w:cs="黑体"/>
          <w:color w:val="auto"/>
          <w:kern w:val="0"/>
          <w:sz w:val="31"/>
          <w:szCs w:val="31"/>
          <w:lang w:val="en-US" w:eastAsia="zh-CN" w:bidi="ar"/>
        </w:rPr>
        <w:t xml:space="preserve">附件：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lang w:val="en-US" w:eastAsia="zh-CN" w:bidi="ar"/>
        </w:rPr>
      </w:pPr>
      <w:r>
        <w:rPr>
          <w:rFonts w:hint="eastAsia" w:ascii="方正小标宋简体" w:hAnsi="方正小标宋简体" w:eastAsia="方正小标宋简体" w:cs="方正小标宋简体"/>
          <w:color w:val="auto"/>
          <w:kern w:val="0"/>
          <w:sz w:val="40"/>
          <w:szCs w:val="40"/>
          <w:lang w:val="en-US" w:eastAsia="zh-CN" w:bidi="ar"/>
        </w:rPr>
        <w:t>2022年度综合行政执法监督计划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3831"/>
        <w:gridCol w:w="1327"/>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黑体" w:hAnsi="宋体" w:eastAsia="黑体" w:cs="黑体"/>
                <w:color w:val="auto"/>
                <w:kern w:val="0"/>
                <w:sz w:val="24"/>
                <w:szCs w:val="24"/>
                <w:lang w:val="en-US" w:eastAsia="zh-CN" w:bidi="ar"/>
              </w:rPr>
              <w:t>序号</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黑体" w:hAnsi="宋体" w:eastAsia="黑体" w:cs="黑体"/>
                <w:color w:val="auto"/>
                <w:kern w:val="0"/>
                <w:sz w:val="24"/>
                <w:szCs w:val="24"/>
                <w:lang w:val="en-US" w:eastAsia="zh-CN" w:bidi="ar"/>
              </w:rPr>
              <w:t>工作事项</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黑体" w:hAnsi="宋体" w:eastAsia="黑体" w:cs="黑体"/>
                <w:color w:val="auto"/>
                <w:kern w:val="0"/>
                <w:sz w:val="24"/>
                <w:szCs w:val="24"/>
                <w:lang w:val="en-US" w:eastAsia="zh-CN" w:bidi="ar"/>
              </w:rPr>
              <w:t>时间</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vertAlign w:val="baseline"/>
                <w:lang w:val="en-US" w:eastAsia="zh-CN" w:bidi="ar"/>
              </w:rPr>
            </w:pPr>
            <w:r>
              <w:rPr>
                <w:rFonts w:hint="eastAsia" w:ascii="黑体" w:hAnsi="宋体" w:eastAsia="黑体" w:cs="黑体"/>
                <w:color w:val="auto"/>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新宋体" w:hAnsi="新宋体" w:eastAsia="新宋体" w:cs="新宋体"/>
                <w:b/>
                <w:bCs/>
                <w:color w:val="auto"/>
                <w:kern w:val="0"/>
                <w:sz w:val="24"/>
                <w:szCs w:val="24"/>
                <w:lang w:val="en-US" w:eastAsia="zh-CN" w:bidi="ar"/>
              </w:rPr>
              <w:t>一、</w:t>
            </w:r>
            <w:r>
              <w:rPr>
                <w:rFonts w:hint="eastAsia" w:ascii="仿宋_GB2312" w:hAnsi="宋体" w:eastAsia="仿宋_GB2312" w:cs="仿宋_GB2312"/>
                <w:b/>
                <w:bCs/>
                <w:color w:val="auto"/>
                <w:kern w:val="0"/>
                <w:sz w:val="24"/>
                <w:szCs w:val="24"/>
                <w:lang w:val="en-US" w:eastAsia="zh-CN" w:bidi="ar"/>
              </w:rPr>
              <w:t>参与安全生产监督检查及示范</w:t>
            </w:r>
            <w:r>
              <w:rPr>
                <w:rFonts w:hint="eastAsia" w:ascii="新宋体" w:hAnsi="新宋体" w:eastAsia="新宋体" w:cs="新宋体"/>
                <w:b/>
                <w:bCs/>
                <w:color w:val="auto"/>
                <w:kern w:val="0"/>
                <w:sz w:val="24"/>
                <w:szCs w:val="24"/>
                <w:lang w:val="en-US" w:eastAsia="zh-CN" w:bidi="ar"/>
              </w:rPr>
              <w:t xml:space="preserve">执法活动4次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1</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color w:val="auto"/>
                <w:kern w:val="0"/>
                <w:sz w:val="24"/>
                <w:szCs w:val="24"/>
                <w:lang w:val="en-US" w:eastAsia="zh-CN" w:bidi="ar"/>
              </w:rPr>
              <w:t>会同危化股开展危化领域监督检查及示范执法</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一季度</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政策法规股牵头，联合执法大队等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2</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color w:val="auto"/>
                <w:kern w:val="0"/>
                <w:sz w:val="24"/>
                <w:szCs w:val="24"/>
                <w:lang w:val="en-US" w:eastAsia="zh-CN" w:bidi="ar"/>
              </w:rPr>
              <w:t>会同安监股开展非煤矿山领域监督检查及示范执法</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二季度</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color w:val="auto"/>
                <w:kern w:val="0"/>
                <w:sz w:val="24"/>
                <w:szCs w:val="24"/>
                <w:lang w:val="en-US" w:eastAsia="zh-CN" w:bidi="ar"/>
              </w:rPr>
              <w:t>政策法规股牵头，联合执法大队等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3</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color w:val="auto"/>
                <w:kern w:val="0"/>
                <w:sz w:val="24"/>
                <w:szCs w:val="24"/>
                <w:lang w:val="en-US" w:eastAsia="zh-CN" w:bidi="ar"/>
              </w:rPr>
              <w:t>会同安监股开展工贸领域监督检查及示范执法</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三季度</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color w:val="auto"/>
                <w:kern w:val="0"/>
                <w:sz w:val="24"/>
                <w:szCs w:val="24"/>
                <w:lang w:val="en-US" w:eastAsia="zh-CN" w:bidi="ar"/>
              </w:rPr>
              <w:t>政策法规股牵头，联合执法大队等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4</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color w:val="auto"/>
                <w:kern w:val="0"/>
                <w:sz w:val="24"/>
                <w:szCs w:val="24"/>
                <w:lang w:val="en-US" w:eastAsia="zh-CN" w:bidi="ar"/>
              </w:rPr>
              <w:t>会同危化股开展烟花爆竹领域监督检查及示范执法</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四季度</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color w:val="auto"/>
                <w:kern w:val="0"/>
                <w:sz w:val="24"/>
                <w:szCs w:val="24"/>
                <w:lang w:val="en-US" w:eastAsia="zh-CN" w:bidi="ar"/>
              </w:rPr>
              <w:t>政策法规股牵头，联合执法大队等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新宋体" w:hAnsi="新宋体" w:eastAsia="新宋体" w:cs="新宋体"/>
                <w:b/>
                <w:bCs/>
                <w:color w:val="auto"/>
                <w:kern w:val="0"/>
                <w:sz w:val="24"/>
                <w:szCs w:val="24"/>
                <w:lang w:val="en-US" w:eastAsia="zh-CN" w:bidi="ar"/>
              </w:rPr>
              <w:t xml:space="preserve">二、参与防灾救灾监督检查4次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1</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参与救灾和物资保障监督检查</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上半年</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2</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参与地震地质监督检查</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上半年</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3</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参与防汛抗旱监督检查</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下半年</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4</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参与火灾防治管理监督检查</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下半年</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新宋体" w:hAnsi="新宋体" w:eastAsia="新宋体" w:cs="新宋体"/>
                <w:b/>
                <w:bCs/>
                <w:color w:val="auto"/>
                <w:kern w:val="0"/>
                <w:sz w:val="24"/>
                <w:szCs w:val="24"/>
                <w:lang w:val="en-US" w:eastAsia="zh-CN" w:bidi="ar"/>
              </w:rPr>
              <w:t>三、对乡（镇、街道）</w:t>
            </w:r>
            <w:r>
              <w:rPr>
                <w:rFonts w:hint="eastAsia" w:ascii="仿宋_GB2312" w:hAnsi="宋体" w:eastAsia="仿宋_GB2312" w:cs="仿宋_GB2312"/>
                <w:b/>
                <w:bCs/>
                <w:color w:val="auto"/>
                <w:kern w:val="0"/>
                <w:sz w:val="24"/>
                <w:szCs w:val="24"/>
                <w:lang w:val="en-US" w:eastAsia="zh-CN" w:bidi="ar"/>
              </w:rPr>
              <w:t>开展执法监督</w:t>
            </w:r>
            <w:r>
              <w:rPr>
                <w:rFonts w:hint="eastAsia" w:ascii="新宋体" w:hAnsi="新宋体" w:eastAsia="新宋体" w:cs="新宋体"/>
                <w:b/>
                <w:bCs/>
                <w:color w:val="auto"/>
                <w:kern w:val="0"/>
                <w:sz w:val="24"/>
                <w:szCs w:val="24"/>
                <w:lang w:val="en-US" w:eastAsia="zh-CN" w:bidi="ar"/>
              </w:rPr>
              <w:t xml:space="preserve">8次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1</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对蓉江、东山进行监督指导</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一季度</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color w:val="auto"/>
                <w:kern w:val="0"/>
                <w:sz w:val="24"/>
                <w:szCs w:val="24"/>
                <w:lang w:val="en-US" w:eastAsia="zh-CN" w:bidi="ar"/>
              </w:rPr>
              <w:t>政策法规股牵头，联合业务股室、执法大队等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2</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对镜坝、太窝进行监督指导</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二季度</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color w:val="auto"/>
                <w:kern w:val="0"/>
                <w:sz w:val="24"/>
                <w:szCs w:val="24"/>
                <w:lang w:val="en-US" w:eastAsia="zh-CN" w:bidi="ar"/>
              </w:rPr>
              <w:t>政策法规股牵头，联合业务股室、执法大队等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3</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对唐江、龙华进行监督指导</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三季度</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color w:val="auto"/>
                <w:kern w:val="0"/>
                <w:sz w:val="24"/>
                <w:szCs w:val="24"/>
                <w:lang w:val="en-US" w:eastAsia="zh-CN" w:bidi="ar"/>
              </w:rPr>
              <w:t>政策法规股牵头，联合业务股室、执法大队等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4</w:t>
            </w:r>
          </w:p>
        </w:tc>
        <w:tc>
          <w:tcPr>
            <w:tcW w:w="383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对南康经开区、龙回进行监督指导</w:t>
            </w:r>
          </w:p>
        </w:tc>
        <w:tc>
          <w:tcPr>
            <w:tcW w:w="13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四季度</w:t>
            </w:r>
          </w:p>
        </w:tc>
        <w:tc>
          <w:tcPr>
            <w:tcW w:w="244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黑体" w:hAnsi="宋体" w:eastAsia="黑体" w:cs="黑体"/>
                <w:color w:val="auto"/>
                <w:kern w:val="0"/>
                <w:sz w:val="24"/>
                <w:szCs w:val="24"/>
                <w:vertAlign w:val="baseline"/>
                <w:lang w:val="en-US" w:eastAsia="zh-CN" w:bidi="ar"/>
              </w:rPr>
            </w:pPr>
            <w:r>
              <w:rPr>
                <w:rFonts w:hint="eastAsia" w:ascii="仿宋_GB2312" w:hAnsi="宋体" w:eastAsia="仿宋_GB2312" w:cs="仿宋_GB2312"/>
                <w:color w:val="auto"/>
                <w:kern w:val="0"/>
                <w:sz w:val="24"/>
                <w:szCs w:val="24"/>
                <w:lang w:val="en-US" w:eastAsia="zh-CN" w:bidi="ar"/>
              </w:rPr>
              <w:t>政策法规股牵头，联合业务股室、执法大队等</w:t>
            </w:r>
          </w:p>
        </w:tc>
      </w:tr>
    </w:tbl>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eastAsiaTheme="minorEastAsia"/>
          <w:color w:val="auto"/>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41275</wp:posOffset>
                </wp:positionV>
                <wp:extent cx="5277485" cy="15240"/>
                <wp:effectExtent l="0" t="0" r="0" b="0"/>
                <wp:wrapNone/>
                <wp:docPr id="1" name="直线 2"/>
                <wp:cNvGraphicFramePr/>
                <a:graphic xmlns:a="http://schemas.openxmlformats.org/drawingml/2006/main">
                  <a:graphicData uri="http://schemas.microsoft.com/office/word/2010/wordprocessingShape">
                    <wps:wsp>
                      <wps:cNvCnPr/>
                      <wps:spPr>
                        <a:xfrm>
                          <a:off x="0" y="0"/>
                          <a:ext cx="5277485" cy="1524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8pt;margin-top:3.25pt;height:1.2pt;width:415.55pt;z-index:251660288;mso-width-relative:page;mso-height-relative:page;" filled="f" stroked="t" coordsize="21600,21600" o:gfxdata="UEsDBAoAAAAAAIdO4kAAAAAAAAAAAAAAAAAEAAAAZHJzL1BLAwQUAAAACACHTuJADLtngtYAAAAF&#10;AQAADwAAAGRycy9kb3ducmV2LnhtbE2OzU7DMBCE70i8g7VI3KhTWpISsqlQJSQuFLXwAG68TSLi&#10;dRS7P+nTs5zobUYzmvmK5dl16khDaD0jTCcJKOLK25ZrhO+vt4cFqBANW9N5JoSRAizL25vC5Naf&#10;eEPHbayVjHDIDUITY59rHaqGnAkT3xNLtveDM1HsUGs7mJOMu04/JkmqnWlZHhrT06qh6md7cAib&#10;lV9nr/38830dP/bZ5TJSVY+I93fT5AVUpHP8L8MfvqBDKUw7f2AbVIcwS6WIkD6BknQxm2egdiKe&#10;QZeFvqYvfwFQSwMEFAAAAAgAh07iQAEFDq3rAQAA4AMAAA4AAABkcnMvZTJvRG9jLnhtbK1TS44T&#10;MRDdI3EHy3vSSTQhUSudWUwYNggiAQeo2O5uS/7J5aSTs3ANVmw4zlyDsjtkYNhkQS/cZVf5Vb1X&#10;5fX9yRp2VBG1dw2fTaacKSe81K5r+Ncvj29WnGECJ8F4pxp+VsjvN69frYdQq7nvvZEqMgJxWA+h&#10;4X1Koa4qFL2ygBMflCNn66OFRNvYVTLCQOjWVPPp9G01+ChD9EIh0ul2dPILYrwF0LetFmrrxcEq&#10;l0bUqAwkooS9Dsg3pdq2VSJ9altUiZmGE9NUVkpC9j6v1WYNdRch9FpcSoBbSnjByYJ2lPQKtYUE&#10;7BD1P1BWi+jRt2kivK1GIkURYjGbvtDmcw9BFS4kNYar6Pj/YMXH4y4yLWkSOHNgqeFP374//fjJ&#10;5lmbIWBNIQ9uFy87DLuYiZ7aaPOfKLBT0fN81VOdEhN0uJgvl3erBWeCfLPF/K7oXT1fDhHTe+Ut&#10;y0bDjXaZLtRw/ICJElLo75B8bBwbMtBqmTGBhq+lppNpAxFA15XL6I2Wj9qYfAVjt38wkR0hD0D5&#10;Mi8C/issZ9kC9mNccY2j0SuQ75xk6RxIGkcvgucarJKcGUUPKFsECHUCbW6JpNTGUQVZ2lHMbO29&#10;PFMjDiHqricpZqXK7KHGl3ovQ5on6899QXp+mJ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Ltn&#10;gtYAAAAFAQAADwAAAAAAAAABACAAAAAiAAAAZHJzL2Rvd25yZXYueG1sUEsBAhQAFAAAAAgAh07i&#10;QAEFDq3rAQAA4AMAAA4AAAAAAAAAAQAgAAAAJQEAAGRycy9lMm9Eb2MueG1sUEsFBgAAAAAGAAYA&#10;WQEAAIIFAAAAAA==&#10;">
                <v:fill on="f" focussize="0,0"/>
                <v:stroke weight="1.25pt" color="#000000" joinstyle="round"/>
                <v:imagedata o:title=""/>
                <o:lock v:ext="edit" aspectratio="f"/>
              </v:line>
            </w:pict>
          </mc:Fallback>
        </mc:AlternateContent>
      </w:r>
      <w:r>
        <w:rPr>
          <w:rFonts w:hint="eastAsia" w:ascii="仿宋_GB2312" w:eastAsia="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372110</wp:posOffset>
                </wp:positionV>
                <wp:extent cx="5313045" cy="635"/>
                <wp:effectExtent l="0" t="0" r="0" b="0"/>
                <wp:wrapNone/>
                <wp:docPr id="2" name="直线 3"/>
                <wp:cNvGraphicFramePr/>
                <a:graphic xmlns:a="http://schemas.openxmlformats.org/drawingml/2006/main">
                  <a:graphicData uri="http://schemas.microsoft.com/office/word/2010/wordprocessingShape">
                    <wps:wsp>
                      <wps:cNvCnPr/>
                      <wps:spPr>
                        <a:xfrm flipV="1">
                          <a:off x="0" y="0"/>
                          <a:ext cx="531304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15pt;margin-top:29.3pt;height:0.05pt;width:418.35pt;z-index:251661312;mso-width-relative:page;mso-height-relative:page;" filled="f" stroked="t" coordsize="21600,21600" o:gfxdata="UEsDBAoAAAAAAIdO4kAAAAAAAAAAAAAAAAAEAAAAZHJzL1BLAwQUAAAACACHTuJAO8GwftQAAAAG&#10;AQAADwAAAGRycy9kb3ducmV2LnhtbE2PzU7DMBCE70i8g7VI3KjdVrRRiFOJPwkJLm14gG28JBHx&#10;OsROW96e7YkeZ2c0822xOfleHWiMXWAL85kBRVwH13Fj4bN6vctAxYTssA9MFn4pwqa8viowd+HI&#10;WzrsUqOkhGOOFtqUhlzrWLfkMc7CQCzeVxg9JpFjo92IRyn3vV4Ys9IeO5aFFgd6aqn+3k3ewqKa&#10;zPvjW6b74afaVi8f+NxFtPb2Zm4eQCU6pf8wnPEFHUph2oeJXVS9haXkLNxnK1DiZsu1fLY/H9ag&#10;y0Jf4pd/UEsDBBQAAAAIAIdO4kCvZDVt8AEAAOgDAAAOAAAAZHJzL2Uyb0RvYy54bWytU0uOEzEQ&#10;3SNxB8t70vmQYdRKZxYThg2CSAzsK26725J/cjnp5CxcgxUbjjPXoOwOAYZNFvSiVXY9v6r3XF7d&#10;Ha1hBxlRe9fw2WTKmXTCt9p1Df/8+PDqljNM4Fow3smGnyTyu/XLF6sh1HLue29aGRmROKyH0PA+&#10;pVBXFYpeWsCJD9JRUvloIdEydlUbYSB2a6r5dHpTDT62IXohEWl3Myb5mTFeQ+iV0kJuvNhb6dLI&#10;GqWBRJKw1wH5unSrlBTpo1IoEzMNJ6Wp/KkIxbv8r9YrqLsIodfi3AJc08IzTRa0o6IXqg0kYPuo&#10;/6GyWkSPXqWJ8LYahRRHSMVs+sybTz0EWbSQ1RgupuP/oxUfDtvIdNvwOWcOLF3409dvT99/sEX2&#10;ZghYE+TebeN5hWEbs9CjipYpo8MXGqIincSwY3H2dHFWHhMTtLlczBbT10vOBOVuFsvMXY0kmSxE&#10;TO+ktywHDTfaZdlQw+E9phH6C5K3jWMDVV3evsmMQEOo6PIptIGEoOvKYfRGtw/amHwEY7e7N5Ed&#10;IA9C+c49/AXLVTaA/YgrqQyDupfQvnUtS6dAFjl6GTz3YGXLmZH0kHJUkAm0uQZJ8o0jF7LFo6k5&#10;2vn2RBeyD1F3PVkxK13mDA1A8ew8rHnC/lwXpt8PdP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8GwftQAAAAGAQAADwAAAAAAAAABACAAAAAiAAAAZHJzL2Rvd25yZXYueG1sUEsBAhQAFAAAAAgA&#10;h07iQK9kNW3wAQAA6AMAAA4AAAAAAAAAAQAgAAAAIwEAAGRycy9lMm9Eb2MueG1sUEsFBgAAAAAG&#10;AAYAWQEAAIUFAAAAAA==&#10;">
                <v:fill on="f" focussize="0,0"/>
                <v:stroke weight="1.25pt" color="#000000" joinstyle="round"/>
                <v:imagedata o:title=""/>
                <o:lock v:ext="edit" aspectratio="f"/>
              </v:line>
            </w:pict>
          </mc:Fallback>
        </mc:AlternateConten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赣州市</w:t>
      </w:r>
      <w:r>
        <w:rPr>
          <w:rFonts w:hint="eastAsia" w:ascii="仿宋_GB2312" w:eastAsia="仿宋_GB2312"/>
          <w:color w:val="auto"/>
          <w:sz w:val="28"/>
          <w:szCs w:val="28"/>
          <w:lang w:val="en-US" w:eastAsia="zh-CN"/>
        </w:rPr>
        <w:t>南康区应急管理局</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w:t>
      </w:r>
      <w:r>
        <w:rPr>
          <w:rFonts w:hint="eastAsia" w:ascii="仿宋_GB2312" w:eastAsia="仿宋_GB2312"/>
          <w:color w:val="auto"/>
          <w:sz w:val="28"/>
          <w:szCs w:val="28"/>
          <w:lang w:val="en-US" w:eastAsia="zh-CN"/>
        </w:rPr>
        <w:t>22</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日印发</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MDBlYTk4MGE1YWI1MGViMGZlOWY4MmRmZTM4ZjcifQ=="/>
  </w:docVars>
  <w:rsids>
    <w:rsidRoot w:val="4113329C"/>
    <w:rsid w:val="03FC0FEB"/>
    <w:rsid w:val="050E1577"/>
    <w:rsid w:val="0A0425E0"/>
    <w:rsid w:val="0DDD6D83"/>
    <w:rsid w:val="112528B6"/>
    <w:rsid w:val="129E3992"/>
    <w:rsid w:val="16F706B3"/>
    <w:rsid w:val="17E96805"/>
    <w:rsid w:val="182F4713"/>
    <w:rsid w:val="1B256E50"/>
    <w:rsid w:val="1B9C29B3"/>
    <w:rsid w:val="1DAE1AB3"/>
    <w:rsid w:val="1ECE2FB1"/>
    <w:rsid w:val="1F0959E6"/>
    <w:rsid w:val="202606FD"/>
    <w:rsid w:val="2055501A"/>
    <w:rsid w:val="21B87493"/>
    <w:rsid w:val="25506360"/>
    <w:rsid w:val="262C38E5"/>
    <w:rsid w:val="263317DE"/>
    <w:rsid w:val="299565F5"/>
    <w:rsid w:val="29DF4DAF"/>
    <w:rsid w:val="2AB949A8"/>
    <w:rsid w:val="2C041C52"/>
    <w:rsid w:val="2D1C7470"/>
    <w:rsid w:val="2E9077CD"/>
    <w:rsid w:val="302F1268"/>
    <w:rsid w:val="30F27A47"/>
    <w:rsid w:val="31E97500"/>
    <w:rsid w:val="321B4C02"/>
    <w:rsid w:val="33EF41AD"/>
    <w:rsid w:val="35641A17"/>
    <w:rsid w:val="36BC6716"/>
    <w:rsid w:val="377203B8"/>
    <w:rsid w:val="39E167C4"/>
    <w:rsid w:val="3A3A483A"/>
    <w:rsid w:val="3AD82C28"/>
    <w:rsid w:val="3CD23723"/>
    <w:rsid w:val="3D347EBE"/>
    <w:rsid w:val="3DB62539"/>
    <w:rsid w:val="3EA2106B"/>
    <w:rsid w:val="40185875"/>
    <w:rsid w:val="4113329C"/>
    <w:rsid w:val="458357B7"/>
    <w:rsid w:val="4798769E"/>
    <w:rsid w:val="4BE34F89"/>
    <w:rsid w:val="4C611946"/>
    <w:rsid w:val="4D6D1ED1"/>
    <w:rsid w:val="4F5A1A06"/>
    <w:rsid w:val="50011E81"/>
    <w:rsid w:val="54D44008"/>
    <w:rsid w:val="561E0B0A"/>
    <w:rsid w:val="5D5E18A3"/>
    <w:rsid w:val="5E3C33E0"/>
    <w:rsid w:val="5E851AF7"/>
    <w:rsid w:val="5F101908"/>
    <w:rsid w:val="5F4A312B"/>
    <w:rsid w:val="633B0B81"/>
    <w:rsid w:val="63A846BE"/>
    <w:rsid w:val="66A12F7E"/>
    <w:rsid w:val="67775419"/>
    <w:rsid w:val="6802570C"/>
    <w:rsid w:val="685A261F"/>
    <w:rsid w:val="69AB1D0A"/>
    <w:rsid w:val="69B47B0D"/>
    <w:rsid w:val="6BA208B3"/>
    <w:rsid w:val="6C375151"/>
    <w:rsid w:val="6E4408FB"/>
    <w:rsid w:val="6E4476B1"/>
    <w:rsid w:val="71523D21"/>
    <w:rsid w:val="73B32A5D"/>
    <w:rsid w:val="747F58E7"/>
    <w:rsid w:val="758B7877"/>
    <w:rsid w:val="78711AA4"/>
    <w:rsid w:val="7BE4394F"/>
    <w:rsid w:val="7BFC4C19"/>
    <w:rsid w:val="7D7B29DD"/>
    <w:rsid w:val="7E325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21"/>
    <w:basedOn w:val="8"/>
    <w:qFormat/>
    <w:uiPriority w:val="0"/>
    <w:rPr>
      <w:rFonts w:ascii="Arial" w:hAnsi="Arial" w:cs="Arial"/>
      <w:color w:val="000000"/>
      <w:sz w:val="20"/>
      <w:szCs w:val="20"/>
      <w:u w:val="none"/>
    </w:rPr>
  </w:style>
  <w:style w:type="character" w:customStyle="1" w:styleId="10">
    <w:name w:val="font31"/>
    <w:basedOn w:val="8"/>
    <w:qFormat/>
    <w:uiPriority w:val="0"/>
    <w:rPr>
      <w:rFonts w:hint="eastAsia" w:ascii="宋体" w:hAnsi="宋体" w:eastAsia="宋体" w:cs="宋体"/>
      <w:color w:val="000000"/>
      <w:sz w:val="22"/>
      <w:szCs w:val="22"/>
      <w:u w:val="none"/>
    </w:rPr>
  </w:style>
  <w:style w:type="character" w:customStyle="1" w:styleId="11">
    <w:name w:val="font11"/>
    <w:basedOn w:val="8"/>
    <w:qFormat/>
    <w:uiPriority w:val="0"/>
    <w:rPr>
      <w:rFonts w:hint="eastAsia" w:ascii="仿宋_GB2312" w:eastAsia="仿宋_GB2312" w:cs="仿宋_GB2312"/>
      <w:color w:val="000000"/>
      <w:sz w:val="22"/>
      <w:szCs w:val="22"/>
      <w:u w:val="none"/>
    </w:rPr>
  </w:style>
  <w:style w:type="character" w:customStyle="1" w:styleId="12">
    <w:name w:val="font7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23391</Words>
  <Characters>24404</Characters>
  <Lines>0</Lines>
  <Paragraphs>0</Paragraphs>
  <TotalTime>156</TotalTime>
  <ScaleCrop>false</ScaleCrop>
  <LinksUpToDate>false</LinksUpToDate>
  <CharactersWithSpaces>24546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2022-02-07T03:26:00Z</dcterms:created>
  <dc:creator>Administrator</dc:creator>
  <cp:lastModifiedBy>冬至</cp:lastModifiedBy>
  <cp:lastPrinted>2022-03-04T04:23:00Z</cp:lastPrinted>
  <dcterms:modified xsi:type="dcterms:W3CDTF">2023-07-24T04:01:06Z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9AAB0210AB074DE09D9423C2CB752562_13</vt:lpwstr>
  </property>
</Properties>
</file>