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0" w:lineRule="exact"/>
        <w:ind w:firstLine="880" w:firstLineChars="200"/>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b w:val="0"/>
          <w:bCs w:val="0"/>
          <w:color w:val="000000"/>
          <w:sz w:val="44"/>
          <w:szCs w:val="44"/>
          <w:highlight w:val="none"/>
          <w:lang w:eastAsia="zh-CN"/>
        </w:rPr>
        <w:t>市政管理处</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3</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val="en-US" w:eastAsia="zh-CN"/>
        </w:rPr>
        <w:t>单位</w:t>
      </w:r>
    </w:p>
    <w:p>
      <w:pPr>
        <w:keepNext w:val="0"/>
        <w:keepLines w:val="0"/>
        <w:pageBreakBefore w:val="0"/>
        <w:kinsoku/>
        <w:wordWrap/>
        <w:overflowPunct/>
        <w:topLinePunct w:val="0"/>
        <w:autoSpaceDE/>
        <w:autoSpaceDN/>
        <w:bidi w:val="0"/>
        <w:adjustRightInd w:val="0"/>
        <w:snapToGrid w:val="0"/>
        <w:spacing w:line="570" w:lineRule="exact"/>
        <w:ind w:firstLine="880" w:firstLineChars="200"/>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预算</w:t>
      </w:r>
      <w:r>
        <w:rPr>
          <w:rFonts w:hint="eastAsia" w:ascii="方正小标宋简体" w:hAnsi="仿宋_GB2312" w:eastAsia="方正小标宋简体"/>
          <w:sz w:val="44"/>
          <w:szCs w:val="44"/>
          <w:lang w:eastAsia="zh-CN"/>
        </w:rPr>
        <w:t>公开</w:t>
      </w:r>
    </w:p>
    <w:p>
      <w:pPr>
        <w:pStyle w:val="6"/>
        <w:keepNext w:val="0"/>
        <w:keepLines w:val="0"/>
        <w:pageBreakBefore w:val="0"/>
        <w:widowControl/>
        <w:tabs>
          <w:tab w:val="right" w:pos="8306"/>
        </w:tabs>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p>
    <w:p>
      <w:pPr>
        <w:pStyle w:val="6"/>
        <w:keepNext w:val="0"/>
        <w:keepLines w:val="0"/>
        <w:pageBreakBefore w:val="0"/>
        <w:widowControl/>
        <w:tabs>
          <w:tab w:val="right" w:pos="8306"/>
        </w:tabs>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第一部分  </w:t>
      </w:r>
      <w:r>
        <w:rPr>
          <w:rFonts w:hint="eastAsia" w:ascii="黑体" w:hAnsi="黑体" w:eastAsia="黑体" w:cs="Times New Roman"/>
          <w:b w:val="0"/>
          <w:bCs/>
          <w:color w:val="000000"/>
          <w:sz w:val="32"/>
          <w:szCs w:val="32"/>
          <w:highlight w:val="none"/>
          <w:lang w:eastAsia="zh-CN"/>
        </w:rPr>
        <w:t>赣州市南康区</w:t>
      </w:r>
      <w:r>
        <w:rPr>
          <w:rFonts w:hint="eastAsia" w:ascii="黑体" w:hAnsi="黑体" w:eastAsia="黑体"/>
          <w:b w:val="0"/>
          <w:bCs/>
          <w:color w:val="000000"/>
          <w:sz w:val="32"/>
          <w:szCs w:val="32"/>
          <w:highlight w:val="none"/>
          <w:lang w:eastAsia="zh-CN"/>
        </w:rPr>
        <w:t>市政管理处</w:t>
      </w:r>
      <w:r>
        <w:rPr>
          <w:rFonts w:hint="eastAsia" w:ascii="黑体" w:hAnsi="黑体" w:eastAsia="黑体" w:cs="黑体"/>
          <w:b w:val="0"/>
          <w:bCs w:val="0"/>
          <w:color w:val="000000"/>
          <w:sz w:val="32"/>
          <w:szCs w:val="32"/>
        </w:rPr>
        <w:t>概况</w:t>
      </w:r>
      <w:r>
        <w:rPr>
          <w:rFonts w:hint="eastAsia" w:ascii="黑体" w:hAnsi="黑体" w:eastAsia="黑体" w:cs="黑体"/>
          <w:b w:val="0"/>
          <w:bCs w:val="0"/>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一、部门主要职责</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二、机构设置及人员情况</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第二部分</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w:t>
      </w:r>
      <w:r>
        <w:rPr>
          <w:rFonts w:hint="eastAsia" w:ascii="黑体" w:hAnsi="黑体" w:eastAsia="黑体" w:cs="Times New Roman"/>
          <w:b w:val="0"/>
          <w:bCs w:val="0"/>
          <w:color w:val="000000"/>
          <w:kern w:val="2"/>
          <w:sz w:val="32"/>
          <w:szCs w:val="32"/>
          <w:highlight w:val="none"/>
          <w:lang w:val="en-US" w:eastAsia="zh-CN" w:bidi="ar-SA"/>
        </w:rPr>
        <w:t>赣州市南康区市政管理处</w:t>
      </w:r>
      <w:r>
        <w:rPr>
          <w:rFonts w:hint="eastAsia" w:ascii="黑体" w:hAnsi="黑体" w:eastAsia="黑体" w:cs="黑体"/>
          <w:b w:val="0"/>
          <w:bCs w:val="0"/>
          <w:color w:val="000000"/>
          <w:sz w:val="32"/>
          <w:szCs w:val="32"/>
          <w:lang w:val="en-US" w:eastAsia="zh-CN"/>
        </w:rPr>
        <w:t>2023年预算表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一、《收支预算总表》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二、《部门收入总表》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三、《部门支出总表》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四、《财政拨款收支总表》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五、《一般公共预算支出表》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六、《一般公共预算基本支出表》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七、《</w:t>
      </w:r>
      <w:r>
        <w:rPr>
          <w:rFonts w:hint="eastAsia" w:ascii="仿宋" w:hAnsi="仿宋" w:eastAsia="仿宋" w:cs="仿宋"/>
          <w:kern w:val="2"/>
          <w:sz w:val="32"/>
          <w:szCs w:val="30"/>
          <w:lang w:eastAsia="zh-CN"/>
        </w:rPr>
        <w:t>财政拨款</w:t>
      </w:r>
      <w:r>
        <w:rPr>
          <w:rFonts w:hint="eastAsia" w:ascii="仿宋" w:hAnsi="仿宋" w:eastAsia="仿宋" w:cs="仿宋"/>
          <w:kern w:val="2"/>
          <w:sz w:val="32"/>
          <w:szCs w:val="30"/>
        </w:rPr>
        <w:t>“三公”经费支出表》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八、《政府性基金预算支出表》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九、《国有资本经营预算支出表》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70" w:lineRule="exact"/>
        <w:ind w:left="0" w:leftChars="0"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十、《项目</w:t>
      </w:r>
      <w:r>
        <w:rPr>
          <w:rFonts w:hint="eastAsia" w:ascii="仿宋" w:hAnsi="仿宋" w:eastAsia="仿宋" w:cs="仿宋"/>
          <w:kern w:val="2"/>
          <w:sz w:val="32"/>
          <w:szCs w:val="30"/>
          <w:lang w:eastAsia="zh-CN"/>
        </w:rPr>
        <w:t>支出</w:t>
      </w:r>
      <w:r>
        <w:rPr>
          <w:rFonts w:hint="eastAsia" w:ascii="仿宋" w:hAnsi="仿宋" w:eastAsia="仿宋" w:cs="仿宋"/>
          <w:kern w:val="2"/>
          <w:sz w:val="32"/>
          <w:szCs w:val="30"/>
        </w:rPr>
        <w:t>绩效目标表》</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第三部分</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w:t>
      </w:r>
      <w:r>
        <w:rPr>
          <w:rFonts w:hint="eastAsia" w:ascii="黑体" w:hAnsi="黑体" w:eastAsia="黑体" w:cs="Times New Roman"/>
          <w:b w:val="0"/>
          <w:bCs w:val="0"/>
          <w:color w:val="000000"/>
          <w:kern w:val="2"/>
          <w:sz w:val="32"/>
          <w:szCs w:val="32"/>
          <w:highlight w:val="none"/>
          <w:lang w:val="en-US" w:eastAsia="zh-CN" w:bidi="ar-SA"/>
        </w:rPr>
        <w:t>赣州市南康区市政管理处</w:t>
      </w:r>
      <w:r>
        <w:rPr>
          <w:rFonts w:hint="eastAsia" w:ascii="黑体" w:hAnsi="黑体" w:eastAsia="黑体" w:cs="黑体"/>
          <w:b w:val="0"/>
          <w:bCs w:val="0"/>
          <w:color w:val="000000"/>
          <w:sz w:val="32"/>
          <w:szCs w:val="32"/>
          <w:lang w:val="en-US" w:eastAsia="zh-CN"/>
        </w:rPr>
        <w:t>2023年预算情况说明</w:t>
      </w:r>
    </w:p>
    <w:p>
      <w:pPr>
        <w:pStyle w:val="6"/>
        <w:keepNext w:val="0"/>
        <w:keepLines w:val="0"/>
        <w:pageBreakBefore w:val="0"/>
        <w:widowControl/>
        <w:kinsoku/>
        <w:wordWrap/>
        <w:overflowPunct/>
        <w:topLinePunct w:val="0"/>
        <w:autoSpaceDE/>
        <w:autoSpaceDN/>
        <w:bidi w:val="0"/>
        <w:adjustRightInd/>
        <w:snapToGrid/>
        <w:spacing w:line="570" w:lineRule="exact"/>
        <w:ind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w:t>
      </w:r>
      <w:r>
        <w:rPr>
          <w:rFonts w:hint="eastAsia" w:ascii="仿宋" w:hAnsi="仿宋" w:eastAsia="仿宋" w:cs="仿宋"/>
          <w:kern w:val="2"/>
          <w:sz w:val="32"/>
          <w:szCs w:val="30"/>
          <w:lang w:val="en-US" w:eastAsia="zh-CN"/>
        </w:rPr>
        <w:t>单位</w:t>
      </w:r>
      <w:r>
        <w:rPr>
          <w:rFonts w:hint="eastAsia" w:ascii="仿宋" w:hAnsi="仿宋" w:eastAsia="仿宋" w:cs="仿宋"/>
          <w:kern w:val="2"/>
          <w:sz w:val="32"/>
          <w:szCs w:val="30"/>
        </w:rPr>
        <w:t>预算收支情况说明</w:t>
      </w:r>
    </w:p>
    <w:p>
      <w:pPr>
        <w:pStyle w:val="6"/>
        <w:keepNext w:val="0"/>
        <w:keepLines w:val="0"/>
        <w:pageBreakBefore w:val="0"/>
        <w:widowControl/>
        <w:kinsoku/>
        <w:wordWrap/>
        <w:overflowPunct/>
        <w:topLinePunct w:val="0"/>
        <w:autoSpaceDE/>
        <w:autoSpaceDN/>
        <w:bidi w:val="0"/>
        <w:adjustRightInd/>
        <w:snapToGrid/>
        <w:spacing w:line="570" w:lineRule="exact"/>
        <w:ind w:right="0" w:rightChars="0" w:firstLine="1280" w:firstLineChars="400"/>
        <w:jc w:val="both"/>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第四部分  名词解释</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sz w:val="32"/>
          <w:szCs w:val="30"/>
        </w:rPr>
      </w:pPr>
    </w:p>
    <w:p>
      <w:pPr>
        <w:keepNext w:val="0"/>
        <w:keepLines w:val="0"/>
        <w:pageBreakBefore w:val="0"/>
        <w:numPr>
          <w:ilvl w:val="0"/>
          <w:numId w:val="1"/>
        </w:numPr>
        <w:kinsoku/>
        <w:wordWrap/>
        <w:overflowPunct/>
        <w:topLinePunct w:val="0"/>
        <w:autoSpaceDE/>
        <w:autoSpaceDN/>
        <w:bidi w:val="0"/>
        <w:adjustRightInd w:val="0"/>
        <w:snapToGrid w:val="0"/>
        <w:spacing w:line="57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0"/>
          <w:lang w:eastAsia="zh-CN"/>
        </w:rPr>
        <w:t>赣州市南康区市政管理处</w:t>
      </w:r>
      <w:r>
        <w:rPr>
          <w:rFonts w:hint="eastAsia" w:ascii="黑体" w:hAnsi="黑体" w:eastAsia="黑体" w:cs="黑体"/>
          <w:b w:val="0"/>
          <w:bCs/>
          <w:sz w:val="32"/>
          <w:szCs w:val="30"/>
        </w:rPr>
        <w:t>概况</w:t>
      </w:r>
    </w:p>
    <w:p>
      <w:pPr>
        <w:keepNext w:val="0"/>
        <w:keepLines w:val="0"/>
        <w:pageBreakBefore w:val="0"/>
        <w:numPr>
          <w:ilvl w:val="0"/>
          <w:numId w:val="0"/>
        </w:numPr>
        <w:kinsoku/>
        <w:wordWrap/>
        <w:overflowPunct/>
        <w:topLinePunct w:val="0"/>
        <w:autoSpaceDE/>
        <w:autoSpaceDN/>
        <w:bidi w:val="0"/>
        <w:adjustRightInd w:val="0"/>
        <w:snapToGrid w:val="0"/>
        <w:spacing w:line="570" w:lineRule="exact"/>
        <w:jc w:val="both"/>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一、主要职责</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赣州市南康区市政管理处是主管市政设施管养工作的区政府职能部门，是区城市管理局全额拨款二级事业单位，主要职责是：为生产生活正常提供市政工程设施管理维护保障，城市（道路、桥梁、隧道）设施维护管理，城市给水排水设施维护管理，市政污水设施维护管理，城市街道照明设施维护管理，街道霓虹灯广告设施管理。</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黑体" w:hAnsi="黑体" w:eastAsia="黑体" w:cs="黑体"/>
          <w:b w:val="0"/>
          <w:bCs/>
          <w:color w:val="000000" w:themeColor="text1"/>
          <w:sz w:val="32"/>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二、机构设置及人员情况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2023年赣州市南康区市政管理处内设处室5个，包括：办公室、交通设施股、项目建设股、市政养护股、路灯管理所。</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MERGEFIELD ${page400644146.ds532982397_REP_JX_BAS_AGENCY_INFO_ZYFRS_S_BZRSXJ}</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编制人数小计15人,</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市政管理处编制9人，内设机构路灯管理所编制6人。其中：</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MERGEFIELD ${page400644146.ds532982397_REP_JX_BAS_AGENCY_INFO_ZYFRS_S_BZRSMX}</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行政编制人数0人,参照公务员管理的事业编制人数0人,全部补助事业编制人数15人,自收自支编制人数0人。</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MERGEFIELD ${page400644146.ds532982397_REP_JX_BAS_AGENCY_INFO_ZYFRS_S_SYRSXJ}</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实有人数小计10人,</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其中：</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MERGEFIELD ${page400644146.ds532982397_REP_JX_BAS_AGENCY_INFO_ZYFRS_S_ZZRSXJ}</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在职人数小计10人,</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MERGEFIELD ${page400644146.ds532982397_REP_JX_BAS_AGENCY_INFO_ZYFRS_S_ZZRSMX}</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行政在职人数0人,参照公务员管理的事业单位在职人数0人,全部补助事业在职人数10人。</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MERGEFIELD ${page400644146.ds532982397_REP_JX_BAS_AGENCY_INFO_ZYFRS_S_QTRSMX}</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离休人数小计0人,退休人数小计4人,退职人员0人,遗属人数0人。</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420" w:firstLineChars="200"/>
        <w:jc w:val="both"/>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spacing w:line="570" w:lineRule="exact"/>
        <w:jc w:val="both"/>
        <w:textAlignment w:val="auto"/>
        <w:rPr>
          <w:rFonts w:hint="eastAsia" w:ascii="黑体" w:hAnsi="黑体" w:eastAsia="黑体" w:cs="黑体"/>
          <w:b w:val="0"/>
          <w:bCs/>
          <w:color w:val="000000" w:themeColor="text1"/>
          <w:sz w:val="32"/>
          <w:szCs w:val="30"/>
          <w:lang w:val="en-US" w:eastAsia="zh-CN"/>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 xml:space="preserve">第二部分  </w:t>
      </w:r>
      <w:r>
        <w:rPr>
          <w:rFonts w:hint="eastAsia" w:ascii="黑体" w:hAnsi="黑体" w:eastAsia="黑体" w:cs="黑体"/>
          <w:b w:val="0"/>
          <w:bCs/>
          <w:color w:val="000000" w:themeColor="text1"/>
          <w:sz w:val="32"/>
          <w:szCs w:val="30"/>
          <w:lang w:val="en-US" w:eastAsia="zh-CN"/>
          <w14:textFill>
            <w14:solidFill>
              <w14:schemeClr w14:val="tx1"/>
            </w14:solidFill>
          </w14:textFill>
        </w:rPr>
        <w:t>赣州市南康区市政管理处2023年单位预算表</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ascii="仿宋" w:hAnsi="仿宋" w:eastAsia="仿宋"/>
          <w:bCs/>
          <w:sz w:val="32"/>
          <w:szCs w:val="32"/>
        </w:rPr>
      </w:pPr>
      <w:r>
        <w:rPr>
          <w:rFonts w:hint="eastAsia" w:ascii="仿宋" w:hAnsi="仿宋" w:eastAsia="仿宋"/>
          <w:bCs/>
          <w:sz w:val="32"/>
          <w:szCs w:val="32"/>
        </w:rPr>
        <w:t>（详见附表）</w:t>
      </w:r>
    </w:p>
    <w:p>
      <w:pPr>
        <w:keepNext w:val="0"/>
        <w:keepLines w:val="0"/>
        <w:pageBreakBefore w:val="0"/>
        <w:widowControl/>
        <w:kinsoku/>
        <w:wordWrap/>
        <w:overflowPunct/>
        <w:topLinePunct w:val="0"/>
        <w:autoSpaceDE/>
        <w:autoSpaceDN/>
        <w:bidi w:val="0"/>
        <w:spacing w:line="570" w:lineRule="exact"/>
        <w:ind w:firstLine="643" w:firstLineChars="200"/>
        <w:jc w:val="both"/>
        <w:textAlignment w:val="auto"/>
        <w:rPr>
          <w:rFonts w:hint="eastAsia" w:ascii="仿宋" w:hAnsi="仿宋" w:eastAsia="仿宋" w:cs="仿宋"/>
          <w:b/>
          <w:kern w:val="0"/>
          <w:sz w:val="32"/>
          <w:szCs w:val="32"/>
        </w:rPr>
      </w:pPr>
    </w:p>
    <w:p>
      <w:pPr>
        <w:keepNext w:val="0"/>
        <w:keepLines w:val="0"/>
        <w:pageBreakBefore w:val="0"/>
        <w:widowControl/>
        <w:numPr>
          <w:ilvl w:val="0"/>
          <w:numId w:val="0"/>
        </w:numPr>
        <w:kinsoku/>
        <w:wordWrap/>
        <w:overflowPunct/>
        <w:topLinePunct w:val="0"/>
        <w:autoSpaceDE/>
        <w:autoSpaceDN/>
        <w:bidi w:val="0"/>
        <w:spacing w:line="570" w:lineRule="exact"/>
        <w:jc w:val="center"/>
        <w:textAlignment w:val="auto"/>
        <w:rPr>
          <w:rFonts w:hint="eastAsia" w:ascii="黑体" w:hAnsi="黑体" w:eastAsia="黑体" w:cs="黑体"/>
          <w:b w:val="0"/>
          <w:bCs/>
          <w:sz w:val="32"/>
          <w:szCs w:val="30"/>
          <w:lang w:val="en-US" w:eastAsia="zh-CN"/>
        </w:rPr>
      </w:pPr>
      <w:r>
        <w:rPr>
          <w:rFonts w:hint="eastAsia" w:ascii="黑体" w:hAnsi="黑体" w:eastAsia="黑体" w:cs="黑体"/>
          <w:b w:val="0"/>
          <w:bCs/>
          <w:sz w:val="32"/>
          <w:szCs w:val="30"/>
          <w:lang w:eastAsia="zh-CN"/>
        </w:rPr>
        <w:t>第三部分</w:t>
      </w:r>
      <w:r>
        <w:rPr>
          <w:rFonts w:hint="eastAsia" w:ascii="黑体" w:hAnsi="黑体" w:eastAsia="黑体" w:cs="黑体"/>
          <w:b w:val="0"/>
          <w:bCs/>
          <w:sz w:val="32"/>
          <w:szCs w:val="30"/>
          <w:lang w:val="en-US" w:eastAsia="zh-CN"/>
        </w:rPr>
        <w:t xml:space="preserve">  </w:t>
      </w:r>
      <w:r>
        <w:rPr>
          <w:rFonts w:hint="eastAsia" w:ascii="黑体" w:hAnsi="黑体" w:eastAsia="黑体" w:cs="黑体"/>
          <w:b w:val="0"/>
          <w:bCs/>
          <w:sz w:val="32"/>
          <w:szCs w:val="30"/>
          <w:lang w:eastAsia="zh-CN"/>
        </w:rPr>
        <w:t>赣州市南康区市政管理处202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p>
    <w:p>
      <w:pPr>
        <w:keepNext w:val="0"/>
        <w:keepLines w:val="0"/>
        <w:pageBreakBefore w:val="0"/>
        <w:widowControl/>
        <w:numPr>
          <w:ilvl w:val="0"/>
          <w:numId w:val="0"/>
        </w:numPr>
        <w:kinsoku/>
        <w:wordWrap/>
        <w:overflowPunct/>
        <w:topLinePunct w:val="0"/>
        <w:autoSpaceDE/>
        <w:autoSpaceDN/>
        <w:bidi w:val="0"/>
        <w:spacing w:line="570" w:lineRule="exact"/>
        <w:ind w:leftChars="200" w:firstLine="3200" w:firstLineChars="10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预算情况说明</w:t>
      </w:r>
    </w:p>
    <w:p>
      <w:pPr>
        <w:keepNext w:val="0"/>
        <w:keepLines w:val="0"/>
        <w:pageBreakBefore w:val="0"/>
        <w:widowControl/>
        <w:numPr>
          <w:ilvl w:val="0"/>
          <w:numId w:val="0"/>
        </w:numPr>
        <w:kinsoku/>
        <w:wordWrap/>
        <w:overflowPunct/>
        <w:topLinePunct w:val="0"/>
        <w:autoSpaceDE/>
        <w:autoSpaceDN/>
        <w:bidi w:val="0"/>
        <w:spacing w:line="570" w:lineRule="exact"/>
        <w:ind w:leftChars="200" w:firstLine="2880" w:firstLineChars="900"/>
        <w:jc w:val="both"/>
        <w:textAlignment w:val="auto"/>
        <w:rPr>
          <w:rFonts w:hint="eastAsia" w:ascii="黑体" w:hAnsi="黑体" w:eastAsia="黑体" w:cs="黑体"/>
          <w:b w:val="0"/>
          <w:bCs/>
          <w:sz w:val="32"/>
          <w:szCs w:val="30"/>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r>
        <w:rPr>
          <w:rFonts w:hint="eastAsia" w:ascii="黑体" w:hAnsi="黑体" w:eastAsia="黑体" w:cs="黑体"/>
          <w:b w:val="0"/>
          <w:bCs/>
          <w:sz w:val="32"/>
          <w:szCs w:val="30"/>
        </w:rPr>
        <w:t>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Style w:val="7"/>
          <w:rFonts w:hint="eastAsia" w:ascii="楷体" w:hAnsi="楷体" w:eastAsia="楷体" w:cs="楷体"/>
          <w:b/>
          <w:bCs w:val="0"/>
          <w:color w:val="000000" w:themeColor="text1"/>
          <w:sz w:val="32"/>
          <w:szCs w:val="32"/>
          <w14:textFill>
            <w14:solidFill>
              <w14:schemeClr w14:val="tx1"/>
            </w14:solidFill>
          </w14:textFill>
        </w:rPr>
      </w:pPr>
      <w:r>
        <w:rPr>
          <w:rStyle w:val="7"/>
          <w:rFonts w:hint="eastAsia" w:ascii="楷体" w:hAnsi="楷体" w:eastAsia="楷体" w:cs="楷体"/>
          <w:b/>
          <w:color w:val="000000" w:themeColor="text1"/>
          <w:sz w:val="32"/>
          <w:szCs w:val="32"/>
          <w14:textFill>
            <w14:solidFill>
              <w14:schemeClr w14:val="tx1"/>
            </w14:solidFill>
          </w14:textFill>
        </w:rPr>
        <w:t>（</w:t>
      </w:r>
      <w:r>
        <w:rPr>
          <w:rStyle w:val="7"/>
          <w:rFonts w:hint="eastAsia" w:ascii="楷体" w:hAnsi="楷体" w:eastAsia="楷体" w:cs="楷体"/>
          <w:b/>
          <w:color w:val="000000" w:themeColor="text1"/>
          <w:sz w:val="32"/>
          <w:szCs w:val="32"/>
          <w:lang w:eastAsia="zh-CN"/>
          <w14:textFill>
            <w14:solidFill>
              <w14:schemeClr w14:val="tx1"/>
            </w14:solidFill>
          </w14:textFill>
        </w:rPr>
        <w:t>一</w:t>
      </w:r>
      <w:r>
        <w:rPr>
          <w:rStyle w:val="7"/>
          <w:rFonts w:hint="eastAsia" w:ascii="楷体" w:hAnsi="楷体" w:eastAsia="楷体" w:cs="楷体"/>
          <w:b/>
          <w:color w:val="000000" w:themeColor="text1"/>
          <w:sz w:val="32"/>
          <w:szCs w:val="32"/>
          <w14:textFill>
            <w14:solidFill>
              <w14:schemeClr w14:val="tx1"/>
            </w14:solidFill>
          </w14:textFill>
        </w:rPr>
        <w:t>）</w:t>
      </w:r>
      <w:r>
        <w:rPr>
          <w:rStyle w:val="7"/>
          <w:rFonts w:hint="eastAsia" w:ascii="楷体" w:hAnsi="楷体" w:eastAsia="楷体" w:cs="楷体"/>
          <w:b/>
          <w:bCs w:val="0"/>
          <w:color w:val="000000" w:themeColor="text1"/>
          <w:sz w:val="32"/>
          <w:szCs w:val="32"/>
          <w14:textFill>
            <w14:solidFill>
              <w14:schemeClr w14:val="tx1"/>
            </w14:solidFill>
          </w14:textFill>
        </w:rPr>
        <w:t>收入预算情况</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MERGEFIELD ${page400644146.ds509943833_REP_JXJC_AGENCY_WZR_NAME}</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lang w:eastAsia="zh-CN"/>
          <w14:textFill>
            <w14:solidFill>
              <w14:schemeClr w14:val="tx1"/>
            </w14:solidFill>
          </w14:textFill>
        </w:rPr>
        <w:t>赣州市</w:t>
      </w:r>
      <w:r>
        <w:rPr>
          <w:rFonts w:hint="eastAsia" w:ascii="仿宋_GB2312" w:eastAsia="仿宋_GB2312"/>
          <w:color w:val="000000" w:themeColor="text1"/>
          <w:sz w:val="32"/>
          <w:szCs w:val="32"/>
          <w14:textFill>
            <w14:solidFill>
              <w14:schemeClr w14:val="tx1"/>
            </w14:solidFill>
          </w14:textFill>
        </w:rPr>
        <w:t>南康区</w:t>
      </w:r>
      <w:r>
        <w:rPr>
          <w:rFonts w:hint="eastAsia" w:ascii="仿宋_GB2312" w:eastAsia="仿宋_GB2312"/>
          <w:color w:val="000000" w:themeColor="text1"/>
          <w:sz w:val="30"/>
          <w:szCs w:val="30"/>
          <w:lang w:eastAsia="zh-CN"/>
          <w14:textFill>
            <w14:solidFill>
              <w14:schemeClr w14:val="tx1"/>
            </w14:solidFill>
          </w14:textFill>
        </w:rPr>
        <w:t>市政管理处</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MERGEFIELD ${page400644146.ds509943833_V_BGT_DEP_INCOME_DXQ01_ZJ}</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14:textFill>
            <w14:solidFill>
              <w14:schemeClr w14:val="tx1"/>
            </w14:solidFill>
          </w14:textFill>
        </w:rPr>
        <w:t>收入预算总额为</w:t>
      </w:r>
      <w:r>
        <w:rPr>
          <w:rFonts w:hint="eastAsia" w:ascii="仿宋" w:hAnsi="仿宋" w:eastAsia="仿宋" w:cs="仿宋"/>
          <w:color w:val="000000" w:themeColor="text1"/>
          <w:kern w:val="0"/>
          <w:sz w:val="32"/>
          <w:szCs w:val="32"/>
          <w:lang w:val="en-US" w:eastAsia="zh-CN"/>
          <w14:textFill>
            <w14:solidFill>
              <w14:schemeClr w14:val="tx1"/>
            </w14:solidFill>
          </w14:textFill>
        </w:rPr>
        <w:t>6502.68</w:t>
      </w:r>
      <w:r>
        <w:rPr>
          <w:rFonts w:hint="eastAsia" w:ascii="仿宋" w:hAnsi="仿宋" w:eastAsia="仿宋" w:cs="仿宋"/>
          <w:color w:val="000000" w:themeColor="text1"/>
          <w:kern w:val="0"/>
          <w:sz w:val="32"/>
          <w:szCs w:val="32"/>
          <w14:textFill>
            <w14:solidFill>
              <w14:schemeClr w14:val="tx1"/>
            </w14:solidFill>
          </w14:textFill>
        </w:rPr>
        <w:t>万元,较上年预算安排增加</w:t>
      </w:r>
      <w:r>
        <w:rPr>
          <w:rFonts w:hint="eastAsia" w:ascii="仿宋" w:hAnsi="仿宋" w:eastAsia="仿宋" w:cs="仿宋"/>
          <w:color w:val="000000" w:themeColor="text1"/>
          <w:kern w:val="0"/>
          <w:sz w:val="32"/>
          <w:szCs w:val="32"/>
          <w:lang w:val="en-US" w:eastAsia="zh-CN"/>
          <w14:textFill>
            <w14:solidFill>
              <w14:schemeClr w14:val="tx1"/>
            </w14:solidFill>
          </w14:textFill>
        </w:rPr>
        <w:t>1149.69</w:t>
      </w:r>
      <w:r>
        <w:rPr>
          <w:rFonts w:hint="eastAsia" w:ascii="仿宋" w:hAnsi="仿宋" w:eastAsia="仿宋" w:cs="仿宋"/>
          <w:color w:val="000000" w:themeColor="text1"/>
          <w:kern w:val="0"/>
          <w:sz w:val="32"/>
          <w:szCs w:val="32"/>
          <w14:textFill>
            <w14:solidFill>
              <w14:schemeClr w14:val="tx1"/>
            </w14:solidFill>
          </w14:textFill>
        </w:rPr>
        <w:t>万元</w:t>
      </w:r>
      <w:r>
        <w:rPr>
          <w:rFonts w:hint="eastAsia" w:ascii="仿宋" w:hAnsi="仿宋" w:eastAsia="仿宋" w:cs="仿宋"/>
          <w:color w:val="000000" w:themeColor="text1"/>
          <w:kern w:val="0"/>
          <w:sz w:val="32"/>
          <w:szCs w:val="32"/>
          <w:lang w:eastAsia="zh-CN"/>
          <w14:textFill>
            <w14:solidFill>
              <w14:schemeClr w14:val="tx1"/>
            </w14:solidFill>
          </w14:textFill>
        </w:rPr>
        <w:t>，主要原因是其他收入资金预算安排有所增加</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fldChar w:fldCharType="end"/>
      </w:r>
      <w:r>
        <w:rPr>
          <w:rFonts w:hint="eastAsia" w:ascii="仿宋" w:hAnsi="仿宋" w:eastAsia="仿宋" w:cs="仿宋"/>
          <w:color w:val="000000" w:themeColor="text1"/>
          <w:kern w:val="0"/>
          <w:sz w:val="32"/>
          <w:szCs w:val="32"/>
          <w:lang w:eastAsia="zh-CN"/>
          <w14:textFill>
            <w14:solidFill>
              <w14:schemeClr w14:val="tx1"/>
            </w14:solidFill>
          </w14:textFill>
        </w:rPr>
        <w:t>其中：</w:t>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MERGEFIELD ${page400644146.ds509943833_V_BGT_DEP_INCOME_DXQ01_SRXMMX}</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14:textFill>
            <w14:solidFill>
              <w14:schemeClr w14:val="tx1"/>
            </w14:solidFill>
          </w14:textFill>
        </w:rPr>
        <w:t>财政拨款收入</w:t>
      </w:r>
      <w:r>
        <w:rPr>
          <w:rFonts w:hint="eastAsia" w:ascii="仿宋" w:hAnsi="仿宋" w:eastAsia="仿宋" w:cs="仿宋"/>
          <w:color w:val="000000" w:themeColor="text1"/>
          <w:kern w:val="0"/>
          <w:sz w:val="32"/>
          <w:szCs w:val="32"/>
          <w:lang w:val="en-US" w:eastAsia="zh-CN"/>
          <w14:textFill>
            <w14:solidFill>
              <w14:schemeClr w14:val="tx1"/>
            </w14:solidFill>
          </w14:textFill>
        </w:rPr>
        <w:t>1097.04</w:t>
      </w:r>
      <w:r>
        <w:rPr>
          <w:rFonts w:hint="eastAsia" w:ascii="仿宋" w:hAnsi="仿宋" w:eastAsia="仿宋" w:cs="仿宋"/>
          <w:color w:val="000000" w:themeColor="text1"/>
          <w:kern w:val="0"/>
          <w:sz w:val="32"/>
          <w:szCs w:val="32"/>
          <w14:textFill>
            <w14:solidFill>
              <w14:schemeClr w14:val="tx1"/>
            </w14:solidFill>
          </w14:textFill>
        </w:rPr>
        <w:t>万元,较上年预算安排增加</w:t>
      </w:r>
      <w:r>
        <w:rPr>
          <w:rFonts w:hint="eastAsia" w:ascii="仿宋" w:hAnsi="仿宋" w:eastAsia="仿宋" w:cs="仿宋"/>
          <w:color w:val="000000" w:themeColor="text1"/>
          <w:kern w:val="0"/>
          <w:sz w:val="32"/>
          <w:szCs w:val="32"/>
          <w:lang w:val="en-US" w:eastAsia="zh-CN"/>
          <w14:textFill>
            <w14:solidFill>
              <w14:schemeClr w14:val="tx1"/>
            </w14:solidFill>
          </w14:textFill>
        </w:rPr>
        <w:t>46.35</w:t>
      </w:r>
      <w:r>
        <w:rPr>
          <w:rFonts w:hint="eastAsia" w:ascii="仿宋" w:hAnsi="仿宋" w:eastAsia="仿宋" w:cs="仿宋"/>
          <w:color w:val="000000" w:themeColor="text1"/>
          <w:kern w:val="0"/>
          <w:sz w:val="32"/>
          <w:szCs w:val="32"/>
          <w14:textFill>
            <w14:solidFill>
              <w14:schemeClr w14:val="tx1"/>
            </w14:solidFill>
          </w14:textFill>
        </w:rPr>
        <w:t>万元;教育收费资金收入</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万元,较上年预算安排增加（减少）</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万元;事业单位经营收入</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万元,较上年预算安排增加（减少）</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万元;国库集中支付网上结转</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万元,较上年预算安排增加（减少）</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万元。</w:t>
      </w:r>
      <w:r>
        <w:rPr>
          <w:rFonts w:hint="eastAsia" w:ascii="仿宋" w:hAnsi="仿宋" w:eastAsia="仿宋" w:cs="仿宋"/>
          <w:color w:val="000000" w:themeColor="text1"/>
          <w:kern w:val="0"/>
          <w:sz w:val="32"/>
          <w:szCs w:val="32"/>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color w:val="000000" w:themeColor="text1"/>
          <w:sz w:val="32"/>
          <w:szCs w:val="32"/>
          <w14:textFill>
            <w14:solidFill>
              <w14:schemeClr w14:val="tx1"/>
            </w14:solidFill>
          </w14:textFill>
        </w:rPr>
      </w:pPr>
      <w:r>
        <w:rPr>
          <w:rStyle w:val="7"/>
          <w:rFonts w:hint="eastAsia" w:ascii="楷体" w:hAnsi="楷体" w:eastAsia="楷体" w:cs="楷体"/>
          <w:b/>
          <w:color w:val="000000" w:themeColor="text1"/>
          <w:sz w:val="32"/>
          <w:szCs w:val="32"/>
          <w14:textFill>
            <w14:solidFill>
              <w14:schemeClr w14:val="tx1"/>
            </w14:solidFill>
          </w14:textFill>
        </w:rPr>
        <w:t xml:space="preserve"> （</w:t>
      </w:r>
      <w:r>
        <w:rPr>
          <w:rStyle w:val="7"/>
          <w:rFonts w:hint="eastAsia" w:ascii="楷体" w:hAnsi="楷体" w:eastAsia="楷体" w:cs="楷体"/>
          <w:b/>
          <w:color w:val="000000" w:themeColor="text1"/>
          <w:sz w:val="32"/>
          <w:szCs w:val="32"/>
          <w:lang w:eastAsia="zh-CN"/>
          <w14:textFill>
            <w14:solidFill>
              <w14:schemeClr w14:val="tx1"/>
            </w14:solidFill>
          </w14:textFill>
        </w:rPr>
        <w:t>二</w:t>
      </w:r>
      <w:r>
        <w:rPr>
          <w:rStyle w:val="7"/>
          <w:rFonts w:hint="eastAsia" w:ascii="楷体" w:hAnsi="楷体" w:eastAsia="楷体" w:cs="楷体"/>
          <w:b/>
          <w:color w:val="000000" w:themeColor="text1"/>
          <w:sz w:val="32"/>
          <w:szCs w:val="32"/>
          <w14:textFill>
            <w14:solidFill>
              <w14:schemeClr w14:val="tx1"/>
            </w14:solidFill>
          </w14:textFill>
        </w:rPr>
        <w:t>）支出预算情况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000000" w:themeColor="text1"/>
          <w:sz w:val="32"/>
          <w:szCs w:val="32"/>
          <w:lang w:eastAsia="zh-CN"/>
          <w14:textFill>
            <w14:solidFill>
              <w14:schemeClr w14:val="tx1"/>
            </w14:solidFill>
          </w14:textFill>
        </w:rPr>
      </w:pPr>
      <w:r>
        <w:rPr>
          <w:rStyle w:val="7"/>
          <w:rFonts w:hint="eastAsia" w:ascii="仿宋" w:hAnsi="仿宋" w:eastAsia="仿宋" w:cs="仿宋"/>
          <w:color w:val="000000" w:themeColor="text1"/>
          <w:sz w:val="32"/>
          <w:szCs w:val="32"/>
          <w:lang w:eastAsia="zh-CN"/>
          <w14:textFill>
            <w14:solidFill>
              <w14:schemeClr w14:val="tx1"/>
            </w14:solidFill>
          </w14:textFill>
        </w:rPr>
        <w:t>202</w:t>
      </w:r>
      <w:r>
        <w:rPr>
          <w:rStyle w:val="7"/>
          <w:rFonts w:hint="eastAsia" w:ascii="仿宋" w:hAnsi="仿宋" w:eastAsia="仿宋" w:cs="仿宋"/>
          <w:color w:val="000000" w:themeColor="text1"/>
          <w:sz w:val="32"/>
          <w:szCs w:val="32"/>
          <w:lang w:val="en-US" w:eastAsia="zh-CN"/>
          <w14:textFill>
            <w14:solidFill>
              <w14:schemeClr w14:val="tx1"/>
            </w14:solidFill>
          </w14:textFill>
        </w:rPr>
        <w:t>3</w:t>
      </w:r>
      <w:r>
        <w:rPr>
          <w:rStyle w:val="7"/>
          <w:rFonts w:hint="eastAsia" w:ascii="仿宋" w:hAnsi="仿宋" w:eastAsia="仿宋" w:cs="仿宋"/>
          <w:color w:val="000000" w:themeColor="text1"/>
          <w:sz w:val="32"/>
          <w:szCs w:val="32"/>
          <w14:textFill>
            <w14:solidFill>
              <w14:schemeClr w14:val="tx1"/>
            </w14:solidFill>
          </w14:textFill>
        </w:rPr>
        <w:t>年赣州市南康区</w:t>
      </w:r>
      <w:r>
        <w:rPr>
          <w:rStyle w:val="7"/>
          <w:rFonts w:hint="eastAsia" w:ascii="仿宋" w:hAnsi="仿宋" w:eastAsia="仿宋" w:cs="仿宋"/>
          <w:color w:val="000000" w:themeColor="text1"/>
          <w:sz w:val="32"/>
          <w:szCs w:val="32"/>
          <w:lang w:eastAsia="zh-CN"/>
          <w14:textFill>
            <w14:solidFill>
              <w14:schemeClr w14:val="tx1"/>
            </w14:solidFill>
          </w14:textFill>
        </w:rPr>
        <w:t>市政管理处</w:t>
      </w:r>
      <w:r>
        <w:rPr>
          <w:rStyle w:val="7"/>
          <w:rFonts w:hint="eastAsia" w:ascii="仿宋" w:hAnsi="仿宋" w:eastAsia="仿宋" w:cs="仿宋"/>
          <w:color w:val="000000" w:themeColor="text1"/>
          <w:sz w:val="32"/>
          <w:szCs w:val="32"/>
          <w14:textFill>
            <w14:solidFill>
              <w14:schemeClr w14:val="tx1"/>
            </w14:solidFill>
          </w14:textFill>
        </w:rPr>
        <w:t>支出预算总额为</w:t>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${page400644146.ds215660413_REP_BGT_T_HC1100002019_DXQ02_S_ZJ}</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lang w:val="en-US" w:eastAsia="zh-CN"/>
          <w14:textFill>
            <w14:solidFill>
              <w14:schemeClr w14:val="tx1"/>
            </w14:solidFill>
          </w14:textFill>
        </w:rPr>
        <w:t>6502.68</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Fonts w:hint="eastAsia" w:ascii="仿宋" w:hAnsi="仿宋" w:eastAsia="仿宋" w:cs="仿宋"/>
          <w:color w:val="000000" w:themeColor="text1"/>
          <w:kern w:val="0"/>
          <w:sz w:val="32"/>
          <w:szCs w:val="32"/>
          <w:lang w:val="en-US" w:eastAsia="zh-CN"/>
          <w14:textFill>
            <w14:solidFill>
              <w14:schemeClr w14:val="tx1"/>
            </w14:solidFill>
          </w14:textFill>
        </w:rPr>
        <w:t>1149.69</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r>
        <w:rPr>
          <w:rStyle w:val="7"/>
          <w:rFonts w:hint="eastAsia" w:ascii="仿宋" w:hAnsi="仿宋" w:eastAsia="仿宋" w:cs="仿宋"/>
          <w:color w:val="000000" w:themeColor="text1"/>
          <w:sz w:val="32"/>
          <w:szCs w:val="32"/>
          <w:lang w:eastAsia="zh-CN"/>
          <w14:textFill>
            <w14:solidFill>
              <w14:schemeClr w14:val="tx1"/>
            </w14:solidFill>
          </w14:textFill>
        </w:rPr>
        <w:t>，主要原因是城乡社区支出类预算有所增加。</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按支出项目类别划分：</w:t>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${page400644146.ds215660413_REP_BGT_T_HC1100002019_DXQ02_JBZCQK}</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14:textFill>
            <w14:solidFill>
              <w14:schemeClr w14:val="tx1"/>
            </w14:solidFill>
          </w14:textFill>
        </w:rPr>
        <w:t>基本支出</w:t>
      </w:r>
      <w:r>
        <w:rPr>
          <w:rFonts w:hint="eastAsia" w:ascii="仿宋" w:hAnsi="仿宋" w:eastAsia="仿宋" w:cs="仿宋"/>
          <w:color w:val="000000" w:themeColor="text1"/>
          <w:kern w:val="0"/>
          <w:sz w:val="32"/>
          <w:szCs w:val="32"/>
          <w:lang w:val="en-US" w:eastAsia="zh-CN"/>
          <w14:textFill>
            <w14:solidFill>
              <w14:schemeClr w14:val="tx1"/>
            </w14:solidFill>
          </w14:textFill>
        </w:rPr>
        <w:t>101.84</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16.79</w:t>
      </w:r>
      <w:r>
        <w:rPr>
          <w:rStyle w:val="7"/>
          <w:rFonts w:hint="eastAsia" w:ascii="仿宋" w:hAnsi="仿宋" w:eastAsia="仿宋" w:cs="仿宋"/>
          <w:color w:val="000000" w:themeColor="text1"/>
          <w:sz w:val="32"/>
          <w:szCs w:val="32"/>
          <w14:textFill>
            <w14:solidFill>
              <w14:schemeClr w14:val="tx1"/>
            </w14:solidFill>
          </w14:textFill>
        </w:rPr>
        <w:t>万元;其中：工资福利支出</w:t>
      </w:r>
      <w:r>
        <w:rPr>
          <w:rFonts w:hint="eastAsia" w:ascii="仿宋" w:hAnsi="仿宋" w:eastAsia="仿宋" w:cs="仿宋"/>
          <w:color w:val="000000" w:themeColor="text1"/>
          <w:kern w:val="0"/>
          <w:sz w:val="32"/>
          <w:szCs w:val="32"/>
          <w:lang w:val="en-US" w:eastAsia="zh-CN"/>
          <w14:textFill>
            <w14:solidFill>
              <w14:schemeClr w14:val="tx1"/>
            </w14:solidFill>
          </w14:textFill>
        </w:rPr>
        <w:t>90.9</w:t>
      </w:r>
      <w:r>
        <w:rPr>
          <w:rStyle w:val="7"/>
          <w:rFonts w:hint="eastAsia" w:ascii="仿宋" w:hAnsi="仿宋" w:eastAsia="仿宋" w:cs="仿宋"/>
          <w:color w:val="000000" w:themeColor="text1"/>
          <w:sz w:val="32"/>
          <w:szCs w:val="32"/>
          <w14:textFill>
            <w14:solidFill>
              <w14:schemeClr w14:val="tx1"/>
            </w14:solidFill>
          </w14:textFill>
        </w:rPr>
        <w:t>万元,商品和服务支出</w:t>
      </w:r>
      <w:r>
        <w:rPr>
          <w:rFonts w:hint="eastAsia" w:ascii="仿宋" w:hAnsi="仿宋" w:eastAsia="仿宋" w:cs="仿宋"/>
          <w:color w:val="000000" w:themeColor="text1"/>
          <w:kern w:val="0"/>
          <w:sz w:val="32"/>
          <w:szCs w:val="32"/>
          <w:lang w:val="en-US" w:eastAsia="zh-CN"/>
          <w14:textFill>
            <w14:solidFill>
              <w14:schemeClr w14:val="tx1"/>
            </w14:solidFill>
          </w14:textFill>
        </w:rPr>
        <w:t>10.7</w:t>
      </w:r>
      <w:r>
        <w:rPr>
          <w:rStyle w:val="7"/>
          <w:rFonts w:hint="eastAsia" w:ascii="仿宋" w:hAnsi="仿宋" w:eastAsia="仿宋" w:cs="仿宋"/>
          <w:color w:val="000000" w:themeColor="text1"/>
          <w:sz w:val="32"/>
          <w:szCs w:val="32"/>
          <w14:textFill>
            <w14:solidFill>
              <w14:schemeClr w14:val="tx1"/>
            </w14:solidFill>
          </w14:textFill>
        </w:rPr>
        <w:t>万元,对个人和家庭的补助</w:t>
      </w:r>
      <w:r>
        <w:rPr>
          <w:rFonts w:hint="eastAsia" w:ascii="仿宋" w:hAnsi="仿宋" w:eastAsia="仿宋" w:cs="仿宋"/>
          <w:color w:val="000000" w:themeColor="text1"/>
          <w:kern w:val="0"/>
          <w:sz w:val="32"/>
          <w:szCs w:val="32"/>
          <w:lang w:val="en-US" w:eastAsia="zh-CN"/>
          <w14:textFill>
            <w14:solidFill>
              <w14:schemeClr w14:val="tx1"/>
            </w14:solidFill>
          </w14:textFill>
        </w:rPr>
        <w:t>0.24</w:t>
      </w:r>
      <w:r>
        <w:rPr>
          <w:rStyle w:val="7"/>
          <w:rFonts w:hint="eastAsia" w:ascii="仿宋" w:hAnsi="仿宋" w:eastAsia="仿宋" w:cs="仿宋"/>
          <w:color w:val="000000" w:themeColor="text1"/>
          <w:sz w:val="32"/>
          <w:szCs w:val="32"/>
          <w14:textFill>
            <w14:solidFill>
              <w14:schemeClr w14:val="tx1"/>
            </w14:solidFill>
          </w14:textFill>
        </w:rPr>
        <w:t>万元,资本性支出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${page400644146.ds215660413_REP_BGT_T_HC1100002019_DXQ02_XMZCQK}</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14:textFill>
            <w14:solidFill>
              <w14:schemeClr w14:val="tx1"/>
            </w14:solidFill>
          </w14:textFill>
        </w:rPr>
        <w:t>项目支出</w:t>
      </w:r>
      <w:r>
        <w:rPr>
          <w:rFonts w:hint="eastAsia" w:ascii="仿宋" w:hAnsi="仿宋" w:eastAsia="仿宋" w:cs="仿宋"/>
          <w:color w:val="000000" w:themeColor="text1"/>
          <w:kern w:val="0"/>
          <w:sz w:val="32"/>
          <w:szCs w:val="32"/>
          <w:lang w:val="en-US" w:eastAsia="zh-CN"/>
          <w14:textFill>
            <w14:solidFill>
              <w14:schemeClr w14:val="tx1"/>
            </w14:solidFill>
          </w14:textFill>
        </w:rPr>
        <w:t>995.2</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29.56</w:t>
      </w:r>
      <w:r>
        <w:rPr>
          <w:rStyle w:val="7"/>
          <w:rFonts w:hint="eastAsia" w:ascii="仿宋" w:hAnsi="仿宋" w:eastAsia="仿宋" w:cs="仿宋"/>
          <w:color w:val="000000" w:themeColor="text1"/>
          <w:sz w:val="32"/>
          <w:szCs w:val="32"/>
          <w14:textFill>
            <w14:solidFill>
              <w14:schemeClr w14:val="tx1"/>
            </w14:solidFill>
          </w14:textFill>
        </w:rPr>
        <w:t>万元;其中：工资福利支出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万元,商品和服务支出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万元,对个人和家庭的补助</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万元,资本性支出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万元,对企业补助</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highlight w:val="none"/>
          <w14:textFill>
            <w14:solidFill>
              <w14:schemeClr w14:val="tx1"/>
            </w14:solidFill>
          </w14:textFill>
        </w:rPr>
        <w:t>按支出功能科目划分：</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Style w:val="7"/>
          <w:rFonts w:hint="eastAsia" w:ascii="仿宋" w:hAnsi="仿宋" w:eastAsia="仿宋" w:cs="仿宋"/>
          <w:color w:val="000000" w:themeColor="text1"/>
          <w:sz w:val="32"/>
          <w:szCs w:val="32"/>
          <w:highlight w:val="none"/>
          <w14:textFill>
            <w14:solidFill>
              <w14:schemeClr w14:val="tx1"/>
            </w14:solidFill>
          </w14:textFill>
        </w:rPr>
        <w:instrText xml:space="preserve">MERGEFIELD ${page400644146.ds247441498_REP_BGT_T_HC1100002019DXQ01_GNZJMX}</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14:textFill>
            <w14:solidFill>
              <w14:schemeClr w14:val="tx1"/>
            </w14:solidFill>
          </w14:textFill>
        </w:rPr>
        <w:t>一般公共服务支出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万元;教育支出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万元;科学技术支出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万元;社会保障和就业支出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11.04</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1.88</w:t>
      </w:r>
      <w:r>
        <w:rPr>
          <w:rStyle w:val="7"/>
          <w:rFonts w:hint="eastAsia" w:ascii="仿宋" w:hAnsi="仿宋" w:eastAsia="仿宋" w:cs="仿宋"/>
          <w:color w:val="000000" w:themeColor="text1"/>
          <w:sz w:val="32"/>
          <w:szCs w:val="32"/>
          <w:highlight w:val="none"/>
          <w14:textFill>
            <w14:solidFill>
              <w14:schemeClr w14:val="tx1"/>
            </w14:solidFill>
          </w14:textFill>
        </w:rPr>
        <w:t>万元;卫生健康支出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5.79</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0.8</w:t>
      </w:r>
      <w:r>
        <w:rPr>
          <w:rStyle w:val="7"/>
          <w:rFonts w:hint="eastAsia" w:ascii="仿宋" w:hAnsi="仿宋" w:eastAsia="仿宋" w:cs="仿宋"/>
          <w:color w:val="000000" w:themeColor="text1"/>
          <w:sz w:val="32"/>
          <w:szCs w:val="32"/>
          <w:highlight w:val="none"/>
          <w14:textFill>
            <w14:solidFill>
              <w14:schemeClr w14:val="tx1"/>
            </w14:solidFill>
          </w14:textFill>
        </w:rPr>
        <w:t>万元;</w:t>
      </w:r>
      <w:r>
        <w:rPr>
          <w:rStyle w:val="7"/>
          <w:rFonts w:hint="eastAsia" w:ascii="仿宋" w:hAnsi="仿宋" w:eastAsia="仿宋" w:cs="仿宋"/>
          <w:color w:val="000000" w:themeColor="text1"/>
          <w:sz w:val="32"/>
          <w:szCs w:val="32"/>
          <w:highlight w:val="none"/>
          <w:lang w:eastAsia="zh-CN"/>
          <w14:textFill>
            <w14:solidFill>
              <w14:schemeClr w14:val="tx1"/>
            </w14:solidFill>
          </w14:textFill>
        </w:rPr>
        <w:t>城乡社区支出</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6485.84万元，较上年预算安排增加1146.99万元</w:t>
      </w:r>
      <w:r>
        <w:rPr>
          <w:rFonts w:hint="eastAsia" w:ascii="仿宋" w:hAnsi="仿宋" w:eastAsia="仿宋" w:cs="黑体"/>
          <w:color w:val="000000" w:themeColor="text1"/>
          <w:kern w:val="2"/>
          <w:sz w:val="32"/>
          <w:szCs w:val="32"/>
          <w:highlight w:val="none"/>
          <w:lang w:val="en-US" w:eastAsia="zh-CN" w:bidi="ar"/>
          <w14:textFill>
            <w14:solidFill>
              <w14:schemeClr w14:val="tx1"/>
            </w14:solidFill>
          </w14:textFill>
        </w:rPr>
        <w:t>；</w:t>
      </w:r>
      <w:r>
        <w:rPr>
          <w:rStyle w:val="7"/>
          <w:rFonts w:hint="eastAsia" w:ascii="仿宋" w:hAnsi="仿宋" w:eastAsia="仿宋" w:cs="仿宋"/>
          <w:color w:val="000000" w:themeColor="text1"/>
          <w:sz w:val="32"/>
          <w:szCs w:val="32"/>
          <w:highlight w:val="none"/>
          <w14:textFill>
            <w14:solidFill>
              <w14:schemeClr w14:val="tx1"/>
            </w14:solidFill>
          </w14:textFill>
        </w:rPr>
        <w:t>农林水支出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万元;住房保障支出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Style w:val="7"/>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highlight w:val="none"/>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rPr>
      </w:pPr>
      <w:r>
        <w:rPr>
          <w:rStyle w:val="7"/>
          <w:rFonts w:hint="eastAsia" w:ascii="仿宋" w:hAnsi="仿宋" w:eastAsia="仿宋" w:cs="仿宋"/>
          <w:color w:val="000000" w:themeColor="text1"/>
          <w:sz w:val="32"/>
          <w:szCs w:val="32"/>
          <w14:textFill>
            <w14:solidFill>
              <w14:schemeClr w14:val="tx1"/>
            </w14:solidFill>
          </w14:textFill>
        </w:rPr>
        <w:t>按支出经济分类划分：</w:t>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${page400644146.ds247441498_REP_BGT_T_HC1100002019DXQ01_JJMX}</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14:textFill>
            <w14:solidFill>
              <w14:schemeClr w14:val="tx1"/>
            </w14:solidFill>
          </w14:textFill>
        </w:rPr>
        <w:t>工资福利支出</w:t>
      </w:r>
      <w:r>
        <w:rPr>
          <w:rFonts w:hint="eastAsia" w:ascii="仿宋" w:hAnsi="仿宋" w:eastAsia="仿宋" w:cs="仿宋"/>
          <w:color w:val="000000" w:themeColor="text1"/>
          <w:kern w:val="0"/>
          <w:sz w:val="32"/>
          <w:szCs w:val="32"/>
          <w:lang w:val="en-US" w:eastAsia="zh-CN"/>
          <w14:textFill>
            <w14:solidFill>
              <w14:schemeClr w14:val="tx1"/>
            </w14:solidFill>
          </w14:textFill>
        </w:rPr>
        <w:t>90.9</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15.43</w:t>
      </w:r>
      <w:r>
        <w:rPr>
          <w:rStyle w:val="7"/>
          <w:rFonts w:hint="eastAsia" w:ascii="仿宋" w:hAnsi="仿宋" w:eastAsia="仿宋" w:cs="仿宋"/>
          <w:color w:val="000000" w:themeColor="text1"/>
          <w:sz w:val="32"/>
          <w:szCs w:val="32"/>
          <w14:textFill>
            <w14:solidFill>
              <w14:schemeClr w14:val="tx1"/>
            </w14:solidFill>
          </w14:textFill>
        </w:rPr>
        <w:t>万元;商品和服务支出</w:t>
      </w:r>
      <w:r>
        <w:rPr>
          <w:rFonts w:hint="eastAsia" w:ascii="仿宋" w:hAnsi="仿宋" w:eastAsia="仿宋" w:cs="仿宋"/>
          <w:color w:val="000000" w:themeColor="text1"/>
          <w:kern w:val="0"/>
          <w:sz w:val="32"/>
          <w:szCs w:val="32"/>
          <w:lang w:val="en-US" w:eastAsia="zh-CN"/>
          <w14:textFill>
            <w14:solidFill>
              <w14:schemeClr w14:val="tx1"/>
            </w14:solidFill>
          </w14:textFill>
        </w:rPr>
        <w:t>10.7</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1.24</w:t>
      </w:r>
      <w:r>
        <w:rPr>
          <w:rStyle w:val="7"/>
          <w:rFonts w:hint="eastAsia" w:ascii="仿宋" w:hAnsi="仿宋" w:eastAsia="仿宋" w:cs="仿宋"/>
          <w:color w:val="000000" w:themeColor="text1"/>
          <w:sz w:val="32"/>
          <w:szCs w:val="32"/>
          <w14:textFill>
            <w14:solidFill>
              <w14:schemeClr w14:val="tx1"/>
            </w14:solidFill>
          </w14:textFill>
        </w:rPr>
        <w:t>万元;对个人和家庭的补助</w:t>
      </w:r>
      <w:r>
        <w:rPr>
          <w:rFonts w:hint="eastAsia" w:ascii="仿宋" w:hAnsi="仿宋" w:eastAsia="仿宋" w:cs="仿宋"/>
          <w:color w:val="000000" w:themeColor="text1"/>
          <w:kern w:val="0"/>
          <w:sz w:val="32"/>
          <w:szCs w:val="32"/>
          <w:lang w:val="en-US" w:eastAsia="zh-CN"/>
          <w14:textFill>
            <w14:solidFill>
              <w14:schemeClr w14:val="tx1"/>
            </w14:solidFill>
          </w14:textFill>
        </w:rPr>
        <w:t>0.24</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0.12</w:t>
      </w:r>
      <w:r>
        <w:rPr>
          <w:rStyle w:val="7"/>
          <w:rFonts w:hint="eastAsia" w:ascii="仿宋" w:hAnsi="仿宋" w:eastAsia="仿宋" w:cs="仿宋"/>
          <w:color w:val="000000" w:themeColor="text1"/>
          <w:sz w:val="32"/>
          <w:szCs w:val="32"/>
          <w14:textFill>
            <w14:solidFill>
              <w14:schemeClr w14:val="tx1"/>
            </w14:solidFill>
          </w14:textFill>
        </w:rPr>
        <w:t>万元;资本性支出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万元;对企业补助</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万元,较上年预算安排增加（减少）</w:t>
      </w:r>
      <w:r>
        <w:rPr>
          <w:rStyle w:val="7"/>
          <w:rFonts w:hint="eastAsia" w:ascii="仿宋" w:hAnsi="仿宋" w:eastAsia="仿宋" w:cs="仿宋"/>
          <w:color w:val="000000" w:themeColor="text1"/>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000000" w:themeColor="text1"/>
          <w:sz w:val="32"/>
          <w:szCs w:val="32"/>
          <w:lang w:eastAsia="zh-CN"/>
          <w14:textFill>
            <w14:solidFill>
              <w14:schemeClr w14:val="tx1"/>
            </w14:solidFill>
          </w14:textFill>
        </w:rPr>
      </w:pPr>
      <w:r>
        <w:rPr>
          <w:rStyle w:val="7"/>
          <w:rFonts w:hint="eastAsia" w:ascii="仿宋" w:hAnsi="仿宋" w:eastAsia="仿宋" w:cs="仿宋"/>
          <w:color w:val="000000" w:themeColor="text1"/>
          <w:sz w:val="32"/>
          <w:szCs w:val="32"/>
          <w:lang w:eastAsia="zh-CN"/>
          <w14:textFill>
            <w14:solidFill>
              <w14:schemeClr w14:val="tx1"/>
            </w14:solidFill>
          </w14:textFill>
        </w:rPr>
        <w:t>202</w:t>
      </w:r>
      <w:r>
        <w:rPr>
          <w:rStyle w:val="7"/>
          <w:rFonts w:hint="eastAsia" w:ascii="仿宋" w:hAnsi="仿宋" w:eastAsia="仿宋" w:cs="仿宋"/>
          <w:color w:val="000000" w:themeColor="text1"/>
          <w:sz w:val="32"/>
          <w:szCs w:val="32"/>
          <w:lang w:val="en-US" w:eastAsia="zh-CN"/>
          <w14:textFill>
            <w14:solidFill>
              <w14:schemeClr w14:val="tx1"/>
            </w14:solidFill>
          </w14:textFill>
        </w:rPr>
        <w:t>3</w:t>
      </w:r>
      <w:r>
        <w:rPr>
          <w:rStyle w:val="7"/>
          <w:rFonts w:hint="eastAsia" w:ascii="仿宋" w:hAnsi="仿宋" w:eastAsia="仿宋" w:cs="仿宋"/>
          <w:color w:val="000000" w:themeColor="text1"/>
          <w:sz w:val="32"/>
          <w:szCs w:val="32"/>
          <w14:textFill>
            <w14:solidFill>
              <w14:schemeClr w14:val="tx1"/>
            </w14:solidFill>
          </w14:textFill>
        </w:rPr>
        <w:t>年赣州市南康区</w:t>
      </w:r>
      <w:r>
        <w:rPr>
          <w:rStyle w:val="7"/>
          <w:rFonts w:hint="eastAsia" w:ascii="仿宋" w:hAnsi="仿宋" w:eastAsia="仿宋" w:cs="仿宋"/>
          <w:color w:val="000000" w:themeColor="text1"/>
          <w:sz w:val="32"/>
          <w:szCs w:val="32"/>
          <w:lang w:eastAsia="zh-CN"/>
          <w14:textFill>
            <w14:solidFill>
              <w14:schemeClr w14:val="tx1"/>
            </w14:solidFill>
          </w14:textFill>
        </w:rPr>
        <w:t>市政管理处</w:t>
      </w:r>
      <w:r>
        <w:rPr>
          <w:rStyle w:val="7"/>
          <w:rFonts w:hint="eastAsia" w:ascii="仿宋" w:hAnsi="仿宋" w:eastAsia="仿宋" w:cs="仿宋"/>
          <w:color w:val="000000" w:themeColor="text1"/>
          <w:sz w:val="32"/>
          <w:szCs w:val="32"/>
          <w14:textFill>
            <w14:solidFill>
              <w14:schemeClr w14:val="tx1"/>
            </w14:solidFill>
          </w14:textFill>
        </w:rPr>
        <w:t>财政拨款支出预算总额为</w:t>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${page400644146.ds215660413_REP_BGT_T_HC1100002019_DXQ02_S_CBXJ}</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lang w:val="en-US" w:eastAsia="zh-CN"/>
          <w14:textFill>
            <w14:solidFill>
              <w14:schemeClr w14:val="tx1"/>
            </w14:solidFill>
          </w14:textFill>
        </w:rPr>
        <w:t>1097.04</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46.35</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w:t>
      </w:r>
      <w:r>
        <w:rPr>
          <w:rStyle w:val="7"/>
          <w:rFonts w:hint="eastAsia" w:ascii="仿宋" w:hAnsi="仿宋" w:eastAsia="仿宋" w:cs="仿宋"/>
          <w:color w:val="000000" w:themeColor="text1"/>
          <w:sz w:val="32"/>
          <w:szCs w:val="32"/>
          <w:lang w:eastAsia="zh-CN"/>
          <w14:textFill>
            <w14:solidFill>
              <w14:schemeClr w14:val="tx1"/>
            </w14:solidFill>
          </w14:textFill>
        </w:rPr>
        <w:t>主要原因是在编人员数增加</w:t>
      </w:r>
      <w:r>
        <w:rPr>
          <w:rStyle w:val="7"/>
          <w:rFonts w:hint="eastAsia" w:ascii="仿宋" w:hAnsi="仿宋" w:eastAsia="仿宋" w:cs="仿宋"/>
          <w:color w:val="000000" w:themeColor="text1"/>
          <w:sz w:val="32"/>
          <w:szCs w:val="32"/>
          <w:lang w:val="en-US" w:eastAsia="zh-CN"/>
          <w14:textFill>
            <w14:solidFill>
              <w14:schemeClr w14:val="tx1"/>
            </w14:solidFill>
          </w14:textFill>
        </w:rPr>
        <w:t>1</w:t>
      </w:r>
      <w:r>
        <w:rPr>
          <w:rStyle w:val="7"/>
          <w:rFonts w:hint="eastAsia" w:ascii="仿宋" w:hAnsi="仿宋" w:eastAsia="仿宋" w:cs="仿宋"/>
          <w:color w:val="000000" w:themeColor="text1"/>
          <w:sz w:val="32"/>
          <w:szCs w:val="32"/>
          <w:lang w:eastAsia="zh-CN"/>
          <w14:textFill>
            <w14:solidFill>
              <w14:schemeClr w14:val="tx1"/>
            </w14:solidFill>
          </w14:textFill>
        </w:rPr>
        <w:t>人，市政管养范围有所增加。</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按支出功能科目划分：</w:t>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${page400644146.ds247441498_REP_BGT_T_HC1100002019DXQ01_GNCBMX}</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14:textFill>
            <w14:solidFill>
              <w14:schemeClr w14:val="tx1"/>
            </w14:solidFill>
          </w14:textFill>
        </w:rPr>
        <w:t>一般公共服务支出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万元,教育支出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万元,社会保障和就业支出</w:t>
      </w:r>
      <w:r>
        <w:rPr>
          <w:rFonts w:hint="eastAsia" w:ascii="仿宋" w:hAnsi="仿宋" w:eastAsia="仿宋" w:cs="仿宋"/>
          <w:color w:val="000000" w:themeColor="text1"/>
          <w:kern w:val="0"/>
          <w:sz w:val="32"/>
          <w:szCs w:val="32"/>
          <w:lang w:val="en-US" w:eastAsia="zh-CN"/>
          <w14:textFill>
            <w14:solidFill>
              <w14:schemeClr w14:val="tx1"/>
            </w14:solidFill>
          </w14:textFill>
        </w:rPr>
        <w:t>11.04</w:t>
      </w:r>
      <w:r>
        <w:rPr>
          <w:rStyle w:val="7"/>
          <w:rFonts w:hint="eastAsia" w:ascii="仿宋" w:hAnsi="仿宋" w:eastAsia="仿宋" w:cs="仿宋"/>
          <w:color w:val="000000" w:themeColor="text1"/>
          <w:sz w:val="32"/>
          <w:szCs w:val="32"/>
          <w14:textFill>
            <w14:solidFill>
              <w14:schemeClr w14:val="tx1"/>
            </w14:solidFill>
          </w14:textFill>
        </w:rPr>
        <w:t>万元,卫生健康支出</w:t>
      </w:r>
      <w:r>
        <w:rPr>
          <w:rFonts w:hint="eastAsia" w:ascii="仿宋" w:hAnsi="仿宋" w:eastAsia="仿宋" w:cs="仿宋"/>
          <w:color w:val="000000" w:themeColor="text1"/>
          <w:kern w:val="0"/>
          <w:sz w:val="32"/>
          <w:szCs w:val="32"/>
          <w:lang w:val="en-US" w:eastAsia="zh-CN"/>
          <w14:textFill>
            <w14:solidFill>
              <w14:schemeClr w14:val="tx1"/>
            </w14:solidFill>
          </w14:textFill>
        </w:rPr>
        <w:t>5.79</w:t>
      </w:r>
      <w:r>
        <w:rPr>
          <w:rStyle w:val="7"/>
          <w:rFonts w:hint="eastAsia" w:ascii="仿宋" w:hAnsi="仿宋" w:eastAsia="仿宋" w:cs="仿宋"/>
          <w:color w:val="000000" w:themeColor="text1"/>
          <w:sz w:val="32"/>
          <w:szCs w:val="32"/>
          <w14:textFill>
            <w14:solidFill>
              <w14:schemeClr w14:val="tx1"/>
            </w14:solidFill>
          </w14:textFill>
        </w:rPr>
        <w:t>万元,</w:t>
      </w:r>
      <w:r>
        <w:rPr>
          <w:rStyle w:val="7"/>
          <w:rFonts w:hint="eastAsia" w:ascii="仿宋" w:hAnsi="仿宋" w:eastAsia="仿宋" w:cs="仿宋"/>
          <w:color w:val="000000" w:themeColor="text1"/>
          <w:sz w:val="32"/>
          <w:szCs w:val="32"/>
          <w:lang w:eastAsia="zh-CN"/>
          <w14:textFill>
            <w14:solidFill>
              <w14:schemeClr w14:val="tx1"/>
            </w14:solidFill>
          </w14:textFill>
        </w:rPr>
        <w:t>城乡社区支出</w:t>
      </w:r>
      <w:r>
        <w:rPr>
          <w:rStyle w:val="7"/>
          <w:rFonts w:hint="eastAsia" w:ascii="仿宋" w:hAnsi="仿宋" w:eastAsia="仿宋" w:cs="仿宋"/>
          <w:color w:val="000000" w:themeColor="text1"/>
          <w:sz w:val="32"/>
          <w:szCs w:val="32"/>
          <w:lang w:val="en-US" w:eastAsia="zh-CN"/>
          <w14:textFill>
            <w14:solidFill>
              <w14:schemeClr w14:val="tx1"/>
            </w14:solidFill>
          </w14:textFill>
        </w:rPr>
        <w:t>1080.2万元，</w:t>
      </w:r>
      <w:r>
        <w:rPr>
          <w:rStyle w:val="7"/>
          <w:rFonts w:hint="eastAsia" w:ascii="仿宋" w:hAnsi="仿宋" w:eastAsia="仿宋" w:cs="仿宋"/>
          <w:color w:val="000000" w:themeColor="text1"/>
          <w:sz w:val="32"/>
          <w:szCs w:val="32"/>
          <w14:textFill>
            <w14:solidFill>
              <w14:schemeClr w14:val="tx1"/>
            </w14:solidFill>
          </w14:textFill>
        </w:rPr>
        <w:t>住房保障支出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FF0000"/>
          <w:sz w:val="32"/>
          <w:szCs w:val="32"/>
        </w:rPr>
      </w:pPr>
      <w:r>
        <w:rPr>
          <w:rStyle w:val="7"/>
          <w:rFonts w:hint="eastAsia" w:ascii="仿宋" w:hAnsi="仿宋" w:eastAsia="仿宋" w:cs="仿宋"/>
          <w:color w:val="000000" w:themeColor="text1"/>
          <w:sz w:val="32"/>
          <w:szCs w:val="32"/>
          <w14:textFill>
            <w14:solidFill>
              <w14:schemeClr w14:val="tx1"/>
            </w14:solidFill>
          </w14:textFill>
        </w:rPr>
        <w:t>按支出项目类别划分：</w:t>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${page400644146.ds215660413_REP_BGT_T_HC1100002019_DXQ02_JBZCQKCB}</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14:textFill>
            <w14:solidFill>
              <w14:schemeClr w14:val="tx1"/>
            </w14:solidFill>
          </w14:textFill>
        </w:rPr>
        <w:t>基本支出</w:t>
      </w:r>
      <w:r>
        <w:rPr>
          <w:rFonts w:hint="eastAsia" w:ascii="仿宋" w:hAnsi="仿宋" w:eastAsia="仿宋" w:cs="仿宋"/>
          <w:color w:val="000000" w:themeColor="text1"/>
          <w:kern w:val="0"/>
          <w:sz w:val="32"/>
          <w:szCs w:val="32"/>
          <w:lang w:val="en-US" w:eastAsia="zh-CN"/>
          <w14:textFill>
            <w14:solidFill>
              <w14:schemeClr w14:val="tx1"/>
            </w14:solidFill>
          </w14:textFill>
        </w:rPr>
        <w:t>101.84</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16.79</w:t>
      </w:r>
      <w:r>
        <w:rPr>
          <w:rStyle w:val="7"/>
          <w:rFonts w:hint="eastAsia" w:ascii="仿宋" w:hAnsi="仿宋" w:eastAsia="仿宋" w:cs="仿宋"/>
          <w:color w:val="000000" w:themeColor="text1"/>
          <w:sz w:val="32"/>
          <w:szCs w:val="32"/>
          <w14:textFill>
            <w14:solidFill>
              <w14:schemeClr w14:val="tx1"/>
            </w14:solidFill>
          </w14:textFill>
        </w:rPr>
        <w:t>万元;其中：工资福利支出</w:t>
      </w:r>
      <w:r>
        <w:rPr>
          <w:rFonts w:hint="eastAsia" w:ascii="仿宋" w:hAnsi="仿宋" w:eastAsia="仿宋" w:cs="仿宋"/>
          <w:color w:val="000000" w:themeColor="text1"/>
          <w:kern w:val="0"/>
          <w:sz w:val="32"/>
          <w:szCs w:val="32"/>
          <w:lang w:val="en-US" w:eastAsia="zh-CN"/>
          <w14:textFill>
            <w14:solidFill>
              <w14:schemeClr w14:val="tx1"/>
            </w14:solidFill>
          </w14:textFill>
        </w:rPr>
        <w:t>90.9</w:t>
      </w:r>
      <w:r>
        <w:rPr>
          <w:rStyle w:val="7"/>
          <w:rFonts w:hint="eastAsia" w:ascii="仿宋" w:hAnsi="仿宋" w:eastAsia="仿宋" w:cs="仿宋"/>
          <w:color w:val="000000" w:themeColor="text1"/>
          <w:sz w:val="32"/>
          <w:szCs w:val="32"/>
          <w14:textFill>
            <w14:solidFill>
              <w14:schemeClr w14:val="tx1"/>
            </w14:solidFill>
          </w14:textFill>
        </w:rPr>
        <w:t>万元,商品和服务支出</w:t>
      </w:r>
      <w:r>
        <w:rPr>
          <w:rFonts w:hint="eastAsia" w:ascii="仿宋" w:hAnsi="仿宋" w:eastAsia="仿宋" w:cs="仿宋"/>
          <w:color w:val="000000" w:themeColor="text1"/>
          <w:kern w:val="0"/>
          <w:sz w:val="32"/>
          <w:szCs w:val="32"/>
          <w:lang w:val="en-US" w:eastAsia="zh-CN"/>
          <w14:textFill>
            <w14:solidFill>
              <w14:schemeClr w14:val="tx1"/>
            </w14:solidFill>
          </w14:textFill>
        </w:rPr>
        <w:t>10.7</w:t>
      </w:r>
      <w:r>
        <w:rPr>
          <w:rStyle w:val="7"/>
          <w:rFonts w:hint="eastAsia" w:ascii="仿宋" w:hAnsi="仿宋" w:eastAsia="仿宋" w:cs="仿宋"/>
          <w:color w:val="000000" w:themeColor="text1"/>
          <w:sz w:val="32"/>
          <w:szCs w:val="32"/>
          <w14:textFill>
            <w14:solidFill>
              <w14:schemeClr w14:val="tx1"/>
            </w14:solidFill>
          </w14:textFill>
        </w:rPr>
        <w:t>万元,对个人和家庭的补助</w:t>
      </w:r>
      <w:r>
        <w:rPr>
          <w:rFonts w:hint="eastAsia" w:ascii="仿宋" w:hAnsi="仿宋" w:eastAsia="仿宋" w:cs="仿宋"/>
          <w:color w:val="000000" w:themeColor="text1"/>
          <w:kern w:val="0"/>
          <w:sz w:val="32"/>
          <w:szCs w:val="32"/>
          <w:lang w:val="en-US" w:eastAsia="zh-CN"/>
          <w14:textFill>
            <w14:solidFill>
              <w14:schemeClr w14:val="tx1"/>
            </w14:solidFill>
          </w14:textFill>
        </w:rPr>
        <w:t>0.24</w:t>
      </w:r>
      <w:r>
        <w:rPr>
          <w:rStyle w:val="7"/>
          <w:rFonts w:hint="eastAsia" w:ascii="仿宋" w:hAnsi="仿宋" w:eastAsia="仿宋" w:cs="仿宋"/>
          <w:color w:val="000000" w:themeColor="text1"/>
          <w:sz w:val="32"/>
          <w:szCs w:val="32"/>
          <w14:textFill>
            <w14:solidFill>
              <w14:schemeClr w14:val="tx1"/>
            </w14:solidFill>
          </w14:textFill>
        </w:rPr>
        <w:t>万元,资本性支出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begin"/>
      </w:r>
      <w:r>
        <w:rPr>
          <w:rStyle w:val="7"/>
          <w:rFonts w:hint="eastAsia" w:ascii="仿宋" w:hAnsi="仿宋" w:eastAsia="仿宋" w:cs="仿宋"/>
          <w:color w:val="000000" w:themeColor="text1"/>
          <w:sz w:val="32"/>
          <w:szCs w:val="32"/>
          <w14:textFill>
            <w14:solidFill>
              <w14:schemeClr w14:val="tx1"/>
            </w14:solidFill>
          </w14:textFill>
        </w:rPr>
        <w:instrText xml:space="preserve">MERGEFIELD ${page400644146.ds215660413_REP_BGT_T_HC1100002019_DXQ02_XMZCQKCB}</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14:textFill>
            <w14:solidFill>
              <w14:schemeClr w14:val="tx1"/>
            </w14:solidFill>
          </w14:textFill>
        </w:rPr>
        <w:t>项目支出</w:t>
      </w:r>
      <w:r>
        <w:rPr>
          <w:rFonts w:hint="eastAsia" w:ascii="仿宋" w:hAnsi="仿宋" w:eastAsia="仿宋" w:cs="仿宋"/>
          <w:color w:val="000000" w:themeColor="text1"/>
          <w:kern w:val="0"/>
          <w:sz w:val="32"/>
          <w:szCs w:val="32"/>
          <w:lang w:val="en-US" w:eastAsia="zh-CN"/>
          <w14:textFill>
            <w14:solidFill>
              <w14:schemeClr w14:val="tx1"/>
            </w14:solidFill>
          </w14:textFill>
        </w:rPr>
        <w:t>995.2</w:t>
      </w:r>
      <w:r>
        <w:rPr>
          <w:rStyle w:val="7"/>
          <w:rFonts w:hint="eastAsia" w:ascii="仿宋" w:hAnsi="仿宋" w:eastAsia="仿宋" w:cs="仿宋"/>
          <w:color w:val="000000" w:themeColor="text1"/>
          <w:sz w:val="32"/>
          <w:szCs w:val="32"/>
          <w14:textFill>
            <w14:solidFill>
              <w14:schemeClr w14:val="tx1"/>
            </w14:solidFill>
          </w14:textFill>
        </w:rPr>
        <w:t>万元,较上年预算安排增加</w:t>
      </w:r>
      <w:r>
        <w:rPr>
          <w:rStyle w:val="7"/>
          <w:rFonts w:hint="eastAsia" w:ascii="仿宋" w:hAnsi="仿宋" w:eastAsia="仿宋" w:cs="仿宋"/>
          <w:color w:val="000000" w:themeColor="text1"/>
          <w:sz w:val="32"/>
          <w:szCs w:val="32"/>
          <w:lang w:val="en-US" w:eastAsia="zh-CN"/>
          <w14:textFill>
            <w14:solidFill>
              <w14:schemeClr w14:val="tx1"/>
            </w14:solidFill>
          </w14:textFill>
        </w:rPr>
        <w:t>29.56</w:t>
      </w:r>
      <w:r>
        <w:rPr>
          <w:rStyle w:val="7"/>
          <w:rFonts w:hint="eastAsia" w:ascii="仿宋" w:hAnsi="仿宋" w:eastAsia="仿宋" w:cs="仿宋"/>
          <w:color w:val="000000" w:themeColor="text1"/>
          <w:sz w:val="32"/>
          <w:szCs w:val="32"/>
          <w14:textFill>
            <w14:solidFill>
              <w14:schemeClr w14:val="tx1"/>
            </w14:solidFill>
          </w14:textFill>
        </w:rPr>
        <w:t>万元;其中：商品和服务支出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万元,对个人和家庭的补助</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万元,资本性支出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Style w:val="7"/>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bCs w:val="0"/>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w:t>
      </w:r>
      <w:r>
        <w:rPr>
          <w:rStyle w:val="7"/>
          <w:rFonts w:hint="eastAsia" w:ascii="楷体" w:hAnsi="楷体" w:eastAsia="楷体" w:cs="楷体"/>
          <w:b/>
          <w:bCs w:val="0"/>
          <w:sz w:val="32"/>
          <w:szCs w:val="32"/>
        </w:rPr>
        <w:t>政府性基金情况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Style w:val="7"/>
          <w:rFonts w:hint="eastAsia" w:ascii="仿宋" w:hAnsi="仿宋" w:eastAsia="仿宋" w:cs="仿宋"/>
          <w:color w:val="000000" w:themeColor="text1"/>
          <w:sz w:val="32"/>
          <w:szCs w:val="32"/>
          <w:lang w:eastAsia="zh-CN"/>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2023年</w:t>
      </w:r>
      <w:r>
        <w:rPr>
          <w:rFonts w:hint="eastAsia" w:ascii="仿宋" w:hAnsi="仿宋" w:eastAsia="仿宋" w:cs="黑体"/>
          <w:color w:val="000000" w:themeColor="text1"/>
          <w:kern w:val="2"/>
          <w:sz w:val="32"/>
          <w:szCs w:val="32"/>
          <w:lang w:val="en-US" w:eastAsia="zh-CN" w:bidi="ar"/>
          <w14:textFill>
            <w14:solidFill>
              <w14:schemeClr w14:val="tx1"/>
            </w14:solidFill>
          </w14:textFill>
        </w:rPr>
        <w:t>赣州市南康区市政管理处</w:t>
      </w:r>
      <w:r>
        <w:rPr>
          <w:rStyle w:val="7"/>
          <w:rFonts w:hint="eastAsia" w:ascii="仿宋" w:hAnsi="仿宋" w:eastAsia="仿宋" w:cs="仿宋"/>
          <w:color w:val="000000" w:themeColor="text1"/>
          <w:sz w:val="32"/>
          <w:szCs w:val="32"/>
          <w:lang w:eastAsia="zh-CN"/>
          <w14:textFill>
            <w14:solidFill>
              <w14:schemeClr w14:val="tx1"/>
            </w14:solidFill>
          </w14:textFill>
        </w:rPr>
        <w:t>无</w:t>
      </w:r>
      <w:r>
        <w:rPr>
          <w:rStyle w:val="7"/>
          <w:rFonts w:hint="eastAsia" w:ascii="仿宋" w:hAnsi="仿宋" w:eastAsia="仿宋" w:cs="仿宋"/>
          <w:color w:val="000000" w:themeColor="text1"/>
          <w:sz w:val="32"/>
          <w:szCs w:val="32"/>
          <w14:textFill>
            <w14:solidFill>
              <w14:schemeClr w14:val="tx1"/>
            </w14:solidFill>
          </w14:textFill>
        </w:rPr>
        <w:t>政府性基金支出预算</w:t>
      </w:r>
      <w:r>
        <w:rPr>
          <w:rStyle w:val="7"/>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黑体"/>
          <w:color w:val="000000" w:themeColor="text1"/>
          <w:kern w:val="2"/>
          <w:sz w:val="32"/>
          <w:szCs w:val="32"/>
          <w:lang w:val="en-US" w:eastAsia="zh-CN" w:bidi="ar"/>
          <w14:textFill>
            <w14:solidFill>
              <w14:schemeClr w14:val="tx1"/>
            </w14:solidFill>
          </w14:textFill>
        </w:rPr>
      </w:pPr>
      <w:r>
        <w:rPr>
          <w:rFonts w:hint="eastAsia" w:ascii="仿宋" w:hAnsi="仿宋" w:eastAsia="仿宋" w:cs="黑体"/>
          <w:color w:val="000000" w:themeColor="text1"/>
          <w:kern w:val="2"/>
          <w:sz w:val="32"/>
          <w:szCs w:val="32"/>
          <w:lang w:val="en-US" w:eastAsia="zh-CN" w:bidi="ar"/>
          <w14:textFill>
            <w14:solidFill>
              <w14:schemeClr w14:val="tx1"/>
            </w14:solidFill>
          </w14:textFill>
        </w:rPr>
        <w:t>2023年赣州市南康区市政管理处无国有资本经营支出预算。</w:t>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color w:val="000000" w:themeColor="text1"/>
          <w:sz w:val="32"/>
          <w:szCs w:val="32"/>
          <w14:textFill>
            <w14:solidFill>
              <w14:schemeClr w14:val="tx1"/>
            </w14:solidFill>
          </w14:textFill>
        </w:rPr>
      </w:pP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14:textFill>
            <w14:solidFill>
              <w14:schemeClr w14:val="tx1"/>
            </w14:solidFill>
          </w14:textFill>
        </w:rPr>
        <w:t>六</w:t>
      </w: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14:textFill>
            <w14:solidFill>
              <w14:schemeClr w14:val="tx1"/>
            </w14:solidFill>
          </w14:textFill>
        </w:rPr>
        <w:t>机关运行经费等重要事项的说明</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lang w:eastAsia="zh-CN"/>
          <w14:textFill>
            <w14:solidFill>
              <w14:schemeClr w14:val="tx1"/>
            </w14:solidFill>
          </w14:textFill>
        </w:rPr>
        <w:t>202</w:t>
      </w:r>
      <w:r>
        <w:rPr>
          <w:rStyle w:val="7"/>
          <w:rFonts w:hint="eastAsia" w:ascii="仿宋" w:hAnsi="仿宋" w:eastAsia="仿宋" w:cs="仿宋"/>
          <w:color w:val="000000" w:themeColor="text1"/>
          <w:sz w:val="32"/>
          <w:szCs w:val="32"/>
          <w:lang w:val="en-US" w:eastAsia="zh-CN"/>
          <w14:textFill>
            <w14:solidFill>
              <w14:schemeClr w14:val="tx1"/>
            </w14:solidFill>
          </w14:textFill>
        </w:rPr>
        <w:t>3</w:t>
      </w:r>
      <w:r>
        <w:rPr>
          <w:rStyle w:val="7"/>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部门机关运行费预算</w:t>
      </w:r>
      <w:r>
        <w:rPr>
          <w:rFonts w:hint="eastAsia" w:ascii="仿宋" w:hAnsi="仿宋" w:eastAsia="仿宋" w:cs="仿宋"/>
          <w:color w:val="000000" w:themeColor="text1"/>
          <w:sz w:val="32"/>
          <w:szCs w:val="32"/>
          <w:lang w:val="en-US" w:eastAsia="zh-CN"/>
          <w14:textFill>
            <w14:solidFill>
              <w14:schemeClr w14:val="tx1"/>
            </w14:solidFill>
          </w14:textFill>
        </w:rPr>
        <w:t>50.2</w:t>
      </w:r>
      <w:r>
        <w:rPr>
          <w:rFonts w:hint="eastAsia" w:ascii="仿宋" w:hAnsi="仿宋" w:eastAsia="仿宋" w:cs="仿宋"/>
          <w:color w:val="000000" w:themeColor="text1"/>
          <w:sz w:val="32"/>
          <w:szCs w:val="32"/>
          <w14:textFill>
            <w14:solidFill>
              <w14:schemeClr w14:val="tx1"/>
            </w14:solidFill>
          </w14:textFill>
        </w:rPr>
        <w:t>万元，比202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年预算增加</w:t>
      </w:r>
      <w:r>
        <w:rPr>
          <w:rFonts w:hint="eastAsia" w:ascii="仿宋" w:hAnsi="仿宋" w:eastAsia="仿宋" w:cs="仿宋"/>
          <w:color w:val="000000" w:themeColor="text1"/>
          <w:sz w:val="32"/>
          <w:szCs w:val="32"/>
          <w:lang w:val="en-US" w:eastAsia="zh-CN"/>
          <w14:textFill>
            <w14:solidFill>
              <w14:schemeClr w14:val="tx1"/>
            </w14:solidFill>
          </w14:textFill>
        </w:rPr>
        <w:t>0.17</w:t>
      </w:r>
      <w:r>
        <w:rPr>
          <w:rFonts w:hint="eastAsia" w:ascii="仿宋" w:hAnsi="仿宋" w:eastAsia="仿宋" w:cs="仿宋"/>
          <w:color w:val="000000" w:themeColor="text1"/>
          <w:sz w:val="32"/>
          <w:szCs w:val="32"/>
          <w14:textFill>
            <w14:solidFill>
              <w14:schemeClr w14:val="tx1"/>
            </w14:solidFill>
          </w14:textFill>
        </w:rPr>
        <w:t>万元，增长</w:t>
      </w:r>
      <w:r>
        <w:rPr>
          <w:rFonts w:hint="eastAsia" w:ascii="仿宋" w:hAnsi="仿宋" w:eastAsia="仿宋" w:cs="仿宋"/>
          <w:color w:val="000000" w:themeColor="text1"/>
          <w:sz w:val="32"/>
          <w:szCs w:val="32"/>
          <w:lang w:val="en-US" w:eastAsia="zh-CN"/>
          <w14:textFill>
            <w14:solidFill>
              <w14:schemeClr w14:val="tx1"/>
            </w14:solidFill>
          </w14:textFill>
        </w:rPr>
        <w:t>0.3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，主要原因：单位</w:t>
      </w:r>
      <w:r>
        <w:rPr>
          <w:rStyle w:val="7"/>
          <w:rFonts w:hint="eastAsia" w:ascii="仿宋" w:hAnsi="仿宋" w:eastAsia="仿宋" w:cs="仿宋"/>
          <w:color w:val="000000" w:themeColor="text1"/>
          <w:sz w:val="32"/>
          <w:szCs w:val="32"/>
          <w:lang w:eastAsia="zh-CN"/>
          <w14:textFill>
            <w14:solidFill>
              <w14:schemeClr w14:val="tx1"/>
            </w14:solidFill>
          </w14:textFill>
        </w:rPr>
        <w:t>在编人员数增加</w:t>
      </w:r>
      <w:r>
        <w:rPr>
          <w:rStyle w:val="7"/>
          <w:rFonts w:hint="eastAsia" w:ascii="仿宋" w:hAnsi="仿宋" w:eastAsia="仿宋" w:cs="仿宋"/>
          <w:color w:val="000000" w:themeColor="text1"/>
          <w:sz w:val="32"/>
          <w:szCs w:val="32"/>
          <w:lang w:val="en-US" w:eastAsia="zh-CN"/>
          <w14:textFill>
            <w14:solidFill>
              <w14:schemeClr w14:val="tx1"/>
            </w14:solidFill>
          </w14:textFill>
        </w:rPr>
        <w:t>1</w:t>
      </w:r>
      <w:r>
        <w:rPr>
          <w:rStyle w:val="7"/>
          <w:rFonts w:hint="eastAsia" w:ascii="仿宋" w:hAnsi="仿宋" w:eastAsia="仿宋" w:cs="仿宋"/>
          <w:color w:val="000000" w:themeColor="text1"/>
          <w:sz w:val="32"/>
          <w:szCs w:val="32"/>
          <w:lang w:eastAsia="zh-CN"/>
          <w14:textFill>
            <w14:solidFill>
              <w14:schemeClr w14:val="tx1"/>
            </w14:solidFill>
          </w14:textFill>
        </w:rPr>
        <w:t>人</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color w:val="000000" w:themeColor="text1"/>
          <w:sz w:val="32"/>
          <w:szCs w:val="32"/>
          <w14:textFill>
            <w14:solidFill>
              <w14:schemeClr w14:val="tx1"/>
            </w14:solidFill>
          </w14:textFill>
        </w:rPr>
      </w:pP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14:textFill>
            <w14:solidFill>
              <w14:schemeClr w14:val="tx1"/>
            </w14:solidFill>
          </w14:textFill>
        </w:rPr>
        <w:t>七</w:t>
      </w: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14:textFill>
            <w14:solidFill>
              <w14:schemeClr w14:val="tx1"/>
            </w14:solidFill>
          </w14:textFill>
        </w:rPr>
        <w:t>政府采购情况</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0"/>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基本户</w:t>
      </w:r>
      <w:r>
        <w:rPr>
          <w:rFonts w:hint="eastAsia" w:ascii="仿宋" w:hAnsi="仿宋" w:eastAsia="仿宋" w:cs="仿宋"/>
          <w:color w:val="000000" w:themeColor="text1"/>
          <w:sz w:val="32"/>
          <w:szCs w:val="32"/>
          <w14:textFill>
            <w14:solidFill>
              <w14:schemeClr w14:val="tx1"/>
            </w14:solidFill>
          </w14:textFill>
        </w:rPr>
        <w:t>部门所属各单位政府采购总额</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万元,其中: 政府采购货物预算</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 政府采购工程预算</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 政府采购服务预算</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eastAsia" w:ascii="楷体" w:hAnsi="楷体" w:eastAsia="楷体" w:cs="楷体"/>
          <w:b/>
          <w:color w:val="000000" w:themeColor="text1"/>
          <w:sz w:val="32"/>
          <w:szCs w:val="32"/>
          <w14:textFill>
            <w14:solidFill>
              <w14:schemeClr w14:val="tx1"/>
            </w14:solidFill>
          </w14:textFill>
        </w:rPr>
      </w:pP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14:textFill>
            <w14:solidFill>
              <w14:schemeClr w14:val="tx1"/>
            </w14:solidFill>
          </w14:textFill>
        </w:rPr>
        <w:t>八</w:t>
      </w: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14:textFill>
            <w14:solidFill>
              <w14:schemeClr w14:val="tx1"/>
            </w14:solidFill>
          </w14:textFill>
        </w:rPr>
        <w:t>国有资产占有使用情况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截至202</w:t>
      </w:r>
      <w:r>
        <w:rPr>
          <w:rFonts w:hint="eastAsia" w:ascii="仿宋" w:hAnsi="仿宋" w:eastAsia="仿宋" w:cs="仿宋"/>
          <w:color w:val="000000" w:themeColor="text1"/>
          <w:sz w:val="32"/>
          <w:szCs w:val="32"/>
          <w:lang w:val="en-US" w:eastAsia="zh-CN"/>
          <w14:textFill>
            <w14:solidFill>
              <w14:schemeClr w14:val="tx1"/>
            </w14:solidFill>
          </w14:textFill>
        </w:rPr>
        <w:t>2年底</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MERGEFIELD ${page400644146.ds532982397_REP_JX_BAS_AGENCY_INFO_ZYFRS_S_CLSYS}</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部门共有车辆</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辆,其中：一般公务用车实有数</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辆,执法执勤用车实有数</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工程作业车5</w:t>
      </w:r>
      <w:r>
        <w:rPr>
          <w:rFonts w:hint="eastAsia" w:ascii="仿宋" w:hAnsi="仿宋" w:eastAsia="仿宋" w:cs="仿宋"/>
          <w:color w:val="000000" w:themeColor="text1"/>
          <w:sz w:val="32"/>
          <w:szCs w:val="32"/>
          <w14:textFill>
            <w14:solidFill>
              <w14:schemeClr w14:val="tx1"/>
            </w14:solidFill>
          </w14:textFill>
        </w:rPr>
        <w:t>辆。</w:t>
      </w:r>
      <w:r>
        <w:rPr>
          <w:rFonts w:hint="eastAsia" w:ascii="仿宋" w:hAnsi="仿宋" w:eastAsia="仿宋" w:cs="仿宋"/>
          <w:color w:val="000000" w:themeColor="text1"/>
          <w:sz w:val="32"/>
          <w:szCs w:val="32"/>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年部门预算安排购置车辆</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辆，安排购置单位价值200万元以上大型设备具体为：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70" w:lineRule="exact"/>
        <w:ind w:firstLine="643" w:firstLineChars="200"/>
        <w:jc w:val="both"/>
        <w:textAlignment w:val="auto"/>
        <w:rPr>
          <w:rStyle w:val="7"/>
          <w:rFonts w:hint="default" w:ascii="楷体" w:hAnsi="楷体" w:eastAsia="楷体" w:cs="楷体"/>
          <w:b/>
          <w:color w:val="000000" w:themeColor="text1"/>
          <w:sz w:val="32"/>
          <w:szCs w:val="32"/>
          <w:lang w:val="en-US" w:eastAsia="zh-CN"/>
          <w14:textFill>
            <w14:solidFill>
              <w14:schemeClr w14:val="tx1"/>
            </w14:solidFill>
          </w14:textFill>
        </w:rPr>
      </w:pP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lang w:val="en-US" w:eastAsia="zh-CN"/>
          <w14:textFill>
            <w14:solidFill>
              <w14:schemeClr w14:val="tx1"/>
            </w14:solidFill>
          </w14:textFill>
        </w:rPr>
        <w:t>九</w:t>
      </w:r>
      <w:r>
        <w:rPr>
          <w:rStyle w:val="7"/>
          <w:rFonts w:hint="eastAsia" w:ascii="楷体" w:hAnsi="楷体" w:eastAsia="楷体" w:cs="楷体"/>
          <w:b/>
          <w:color w:val="000000" w:themeColor="text1"/>
          <w:sz w:val="32"/>
          <w:szCs w:val="32"/>
          <w:lang w:eastAsia="zh-CN"/>
          <w14:textFill>
            <w14:solidFill>
              <w14:schemeClr w14:val="tx1"/>
            </w14:solidFill>
          </w14:textFill>
        </w:rPr>
        <w:t>）</w:t>
      </w:r>
      <w:r>
        <w:rPr>
          <w:rStyle w:val="7"/>
          <w:rFonts w:hint="eastAsia" w:ascii="楷体" w:hAnsi="楷体" w:eastAsia="楷体" w:cs="楷体"/>
          <w:b/>
          <w:color w:val="000000" w:themeColor="text1"/>
          <w:sz w:val="32"/>
          <w:szCs w:val="32"/>
          <w:lang w:val="en-US" w:eastAsia="zh-CN"/>
          <w14:textFill>
            <w14:solidFill>
              <w14:schemeClr w14:val="tx1"/>
            </w14:solidFill>
          </w14:textFill>
        </w:rPr>
        <w:t>预算绩效管理情况说明</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2023年赣州市南康区市政管理处对项目支出全面实施绩效目标管理，2023年部门整体支出预算金额</w:t>
      </w:r>
      <w:r>
        <w:rPr>
          <w:rFonts w:hint="eastAsia" w:ascii="仿宋" w:hAnsi="仿宋" w:eastAsia="仿宋" w:cs="仿宋"/>
          <w:color w:val="000000" w:themeColor="text1"/>
          <w:kern w:val="0"/>
          <w:sz w:val="32"/>
          <w:szCs w:val="32"/>
          <w14:textFill>
            <w14:solidFill>
              <w14:schemeClr w14:val="tx1"/>
            </w14:solidFill>
          </w14:textFill>
        </w:rPr>
        <w:t>6502.68</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根据以前年度绩效评价结果，</w:t>
      </w:r>
      <w:r>
        <w:rPr>
          <w:rFonts w:hint="eastAsia" w:ascii="仿宋" w:hAnsi="仿宋" w:eastAsia="仿宋" w:cs="仿宋"/>
          <w:color w:val="000000" w:themeColor="text1"/>
          <w:sz w:val="32"/>
          <w:szCs w:val="32"/>
          <w:u w:val="none"/>
          <w:lang w:val="en-US" w:eastAsia="zh-CN"/>
          <w14:textFill>
            <w14:solidFill>
              <w14:schemeClr w14:val="tx1"/>
            </w14:solidFill>
          </w14:textFill>
        </w:rPr>
        <w:t>优化2023年预算安排并进一步改善管理、完善政策。</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2023年赣州市南康区市政管理处部门预算安排项目4个，项目预算金额合计985.8万元，其中：路灯电费项目预算金额785万元，临聘人员经费项目预算金额80.64万元，临聘人员单位特定工作经费（工资补差）项目预算金额20.16万元，城区市政日常维管经费项目预算金额100万元。本单位所有项目支出绩效目标表详见第二部分附表。</w:t>
      </w:r>
    </w:p>
    <w:p>
      <w:pPr>
        <w:keepNext w:val="0"/>
        <w:keepLines w:val="0"/>
        <w:pageBreakBefore w:val="0"/>
        <w:numPr>
          <w:ilvl w:val="0"/>
          <w:numId w:val="0"/>
        </w:numPr>
        <w:kinsoku/>
        <w:wordWrap/>
        <w:overflowPunct/>
        <w:topLinePunct w:val="0"/>
        <w:autoSpaceDE/>
        <w:autoSpaceDN/>
        <w:bidi w:val="0"/>
        <w:spacing w:line="570" w:lineRule="exact"/>
        <w:ind w:firstLine="643"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Style w:val="7"/>
          <w:rFonts w:hint="eastAsia" w:ascii="楷体" w:hAnsi="楷体" w:eastAsia="楷体" w:cs="楷体"/>
          <w:b/>
          <w:color w:val="000000" w:themeColor="text1"/>
          <w:sz w:val="32"/>
          <w:szCs w:val="32"/>
          <w:lang w:val="en-US" w:eastAsia="zh-CN"/>
          <w14:textFill>
            <w14:solidFill>
              <w14:schemeClr w14:val="tx1"/>
            </w14:solidFill>
          </w14:textFill>
        </w:rPr>
        <w:t>（十）重点项目：部门</w:t>
      </w:r>
      <w:r>
        <w:rPr>
          <w:rStyle w:val="7"/>
          <w:rFonts w:hint="eastAsia" w:ascii="楷体" w:hAnsi="楷体" w:eastAsia="楷体" w:cs="楷体"/>
          <w:b/>
          <w:color w:val="000000" w:themeColor="text1"/>
          <w:sz w:val="32"/>
          <w:szCs w:val="32"/>
          <w14:textFill>
            <w14:solidFill>
              <w14:schemeClr w14:val="tx1"/>
            </w14:solidFill>
          </w14:textFill>
        </w:rPr>
        <w:t>项目情况说明</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kern w:val="0"/>
          <w:sz w:val="32"/>
          <w:szCs w:val="32"/>
        </w:rPr>
      </w:pPr>
      <w:r>
        <w:rPr>
          <w:rStyle w:val="7"/>
          <w:rFonts w:hint="eastAsia" w:ascii="黑体" w:hAnsi="黑体" w:eastAsia="黑体" w:cs="黑体"/>
          <w:b w:val="0"/>
          <w:bCs/>
          <w:color w:val="000000" w:themeColor="text1"/>
          <w:sz w:val="32"/>
          <w:szCs w:val="32"/>
          <w:lang w:val="en-US" w:eastAsia="zh-CN"/>
          <w14:textFill>
            <w14:solidFill>
              <w14:schemeClr w14:val="tx1"/>
            </w14:solidFill>
          </w14:textFill>
        </w:rPr>
        <w:t>1.市政设施日常维护项目情况说明</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（1）项目概述</w:t>
      </w:r>
      <w:r>
        <w:rPr>
          <w:rFonts w:hint="eastAsia" w:ascii="仿宋" w:hAnsi="仿宋" w:eastAsia="仿宋" w:cs="仿宋"/>
          <w:sz w:val="32"/>
          <w:szCs w:val="32"/>
          <w:lang w:eastAsia="zh-CN"/>
        </w:rPr>
        <w:t>：</w:t>
      </w:r>
      <w:r>
        <w:rPr>
          <w:rFonts w:hint="eastAsia" w:ascii="仿宋" w:hAnsi="仿宋" w:eastAsia="仿宋" w:cs="仿宋"/>
          <w:color w:val="000000" w:themeColor="text1"/>
          <w:kern w:val="0"/>
          <w:sz w:val="32"/>
          <w:szCs w:val="32"/>
          <w:lang w:val="en-US" w:eastAsia="zh-CN"/>
          <w14:textFill>
            <w14:solidFill>
              <w14:schemeClr w14:val="tx1"/>
            </w14:solidFill>
          </w14:textFill>
        </w:rPr>
        <w:t>为生产生活正常提供市政工程设施管理维护保障，城市（道路、桥梁、隧道）设施维护管理，城市给水排水设施维护管理，市政污水设施维护管理。</w:t>
      </w:r>
    </w:p>
    <w:p>
      <w:pPr>
        <w:keepNext w:val="0"/>
        <w:keepLines w:val="0"/>
        <w:pageBreakBefore w:val="0"/>
        <w:numPr>
          <w:ilvl w:val="0"/>
          <w:numId w:val="2"/>
        </w:numPr>
        <w:kinsoku/>
        <w:wordWrap/>
        <w:overflowPunct/>
        <w:topLinePunct w:val="0"/>
        <w:autoSpaceDE/>
        <w:autoSpaceDN/>
        <w:bidi w:val="0"/>
        <w:spacing w:line="560" w:lineRule="exact"/>
        <w:ind w:left="802"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立项依据</w:t>
      </w:r>
      <w:r>
        <w:rPr>
          <w:rFonts w:hint="eastAsia" w:ascii="仿宋" w:hAnsi="仿宋" w:eastAsia="仿宋" w:cs="仿宋"/>
          <w:sz w:val="32"/>
          <w:szCs w:val="32"/>
          <w:lang w:eastAsia="zh-CN"/>
        </w:rPr>
        <w:t>：根据区政府抄告单执行</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（3）实施主体</w:t>
      </w:r>
      <w:r>
        <w:rPr>
          <w:rFonts w:hint="eastAsia" w:ascii="仿宋" w:hAnsi="仿宋" w:eastAsia="仿宋" w:cs="仿宋"/>
          <w:sz w:val="32"/>
          <w:szCs w:val="32"/>
          <w:lang w:eastAsia="zh-CN"/>
        </w:rPr>
        <w:t>：赣州市南康区市政管理处</w:t>
      </w:r>
    </w:p>
    <w:p>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（4）实施方案</w:t>
      </w:r>
      <w:r>
        <w:rPr>
          <w:rFonts w:hint="eastAsia" w:ascii="仿宋" w:hAnsi="仿宋" w:eastAsia="仿宋" w:cs="仿宋"/>
          <w:sz w:val="32"/>
          <w:szCs w:val="32"/>
          <w:lang w:eastAsia="zh-CN"/>
        </w:rPr>
        <w:t>：解决城区内损坏车行道、人行道，城区以移交的下水道主、支管网、雨水篦子等进行疏通及维修，城区22座跨河桥及6座人行天桥的管护，城区交通指示牌、道路护栏等市政设施的维护等问题。</w:t>
      </w:r>
    </w:p>
    <w:p>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（5）实施周期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2023年1月1日至12月31日</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（6）年度预算安排</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700万元。</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rPr>
      </w:pPr>
      <w:r>
        <w:rPr>
          <w:rFonts w:hint="eastAsia" w:ascii="仿宋" w:hAnsi="仿宋" w:eastAsia="仿宋" w:cs="仿宋"/>
          <w:sz w:val="32"/>
          <w:szCs w:val="32"/>
        </w:rPr>
        <w:t xml:space="preserve"> （7）绩效目标和指标</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数量指标：市政设施管养保障，城市（道路、桥梁、隧道）设施，城市给水排水设施等数量管养率，100%。</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质量指标：市政设施养护质量完成率，98%。</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实效指标：市政设施管养及时完成率，及时。</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成本指标：市政设施成本节约率，97%。</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社会效益指标：群众信访及投诉处理率，98%</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可持续影响指标：居民生活环境改善率，98%。</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满意度指标：社会评价满意度，99%。</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sz w:val="32"/>
          <w:szCs w:val="32"/>
          <w:lang w:val="en-US" w:eastAsia="zh-CN"/>
        </w:rPr>
      </w:pPr>
      <w:r>
        <w:rPr>
          <w:rStyle w:val="7"/>
          <w:rFonts w:hint="eastAsia" w:ascii="黑体" w:hAnsi="黑体" w:eastAsia="黑体" w:cs="黑体"/>
          <w:b w:val="0"/>
          <w:bCs/>
          <w:color w:val="000000" w:themeColor="text1"/>
          <w:sz w:val="32"/>
          <w:szCs w:val="32"/>
          <w:lang w:val="en-US" w:eastAsia="zh-CN"/>
          <w14:textFill>
            <w14:solidFill>
              <w14:schemeClr w14:val="tx1"/>
            </w14:solidFill>
          </w14:textFill>
        </w:rPr>
        <w:t>2.路灯电费项目情况说明</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rPr>
        <w:t>1）项目概述</w:t>
      </w:r>
      <w:r>
        <w:rPr>
          <w:rFonts w:hint="eastAsia" w:ascii="仿宋" w:hAnsi="仿宋" w:eastAsia="仿宋" w:cs="仿宋"/>
          <w:sz w:val="32"/>
          <w:szCs w:val="32"/>
          <w:lang w:eastAsia="zh-CN"/>
        </w:rPr>
        <w:t>：对城区路灯整治并按要求进行日常管养，有效的解决了城区路灯亮灯率等问题。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（2）立项依据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根据康府办抄财字〔2021〕143号执行</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eastAsia="zh-CN"/>
        </w:rPr>
      </w:pPr>
      <w:r>
        <w:rPr>
          <w:rFonts w:hint="eastAsia" w:ascii="仿宋" w:hAnsi="仿宋" w:eastAsia="仿宋" w:cs="仿宋"/>
          <w:sz w:val="32"/>
          <w:szCs w:val="32"/>
        </w:rPr>
        <w:t>（3）实施主体</w:t>
      </w:r>
      <w:r>
        <w:rPr>
          <w:rFonts w:hint="eastAsia" w:ascii="仿宋" w:hAnsi="仿宋" w:eastAsia="仿宋" w:cs="仿宋"/>
          <w:sz w:val="32"/>
          <w:szCs w:val="32"/>
          <w:lang w:eastAsia="zh-CN"/>
        </w:rPr>
        <w:t>：赣州市南康区市政管理处</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为了解决城区路灯亮灯率，城区正常照明路灯管理维护，城区街道照明设施维护管理，亮化夜景灯管理等。</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（5）实施周期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2023年1月1日至12月31日</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（6）年度预算安排</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785万元。</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rPr>
      </w:pPr>
      <w:r>
        <w:rPr>
          <w:rFonts w:hint="eastAsia" w:ascii="仿宋" w:hAnsi="仿宋" w:eastAsia="仿宋" w:cs="仿宋"/>
          <w:sz w:val="32"/>
          <w:szCs w:val="32"/>
        </w:rPr>
        <w:t xml:space="preserve"> （7）绩效目标和指标</w:t>
      </w:r>
    </w:p>
    <w:p>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数量指标：城区路灯装灯率，100%。</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质量指标：城区路灯亮灯率，98%。</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实效指标：路灯养护及时完成率，及时。</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成本指标：路灯养护成本控制率，98%。</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社会效益指标：便民服务设施到位率，98%。</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可持续影响指标：城区路灯亮化可持续率，98%。</w:t>
      </w:r>
    </w:p>
    <w:p>
      <w:pPr>
        <w:keepNext w:val="0"/>
        <w:keepLines w:val="0"/>
        <w:pageBreakBefore w:val="0"/>
        <w:kinsoku/>
        <w:wordWrap/>
        <w:overflowPunct/>
        <w:topLinePunct w:val="0"/>
        <w:autoSpaceDE/>
        <w:autoSpaceDN/>
        <w:bidi w:val="0"/>
        <w:spacing w:line="560" w:lineRule="exact"/>
        <w:ind w:firstLine="642"/>
        <w:textAlignment w:val="auto"/>
        <w:rPr>
          <w:rFonts w:hint="eastAsia" w:ascii="黑体" w:hAnsi="黑体" w:eastAsia="黑体" w:cs="黑体"/>
          <w:b w:val="0"/>
          <w:bCs/>
          <w:kern w:val="0"/>
          <w:sz w:val="32"/>
          <w:szCs w:val="32"/>
        </w:rPr>
      </w:pPr>
      <w:r>
        <w:rPr>
          <w:rFonts w:hint="eastAsia" w:ascii="仿宋" w:hAnsi="仿宋" w:eastAsia="仿宋" w:cs="仿宋"/>
          <w:sz w:val="32"/>
          <w:szCs w:val="32"/>
          <w:lang w:val="en-US" w:eastAsia="zh-CN"/>
        </w:rPr>
        <w:t xml:space="preserve">      满意度指标：社会评价满意度，99%。</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年“三公”经费预算情况说明</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赣州市南康区市政管理处</w:t>
      </w:r>
      <w:r>
        <w:rPr>
          <w:rFonts w:hint="eastAsia" w:ascii="仿宋" w:hAnsi="仿宋" w:eastAsia="仿宋" w:cs="仿宋"/>
          <w:bCs/>
          <w:color w:val="000000" w:themeColor="text1"/>
          <w:sz w:val="32"/>
          <w:szCs w:val="32"/>
          <w14:textFill>
            <w14:solidFill>
              <w14:schemeClr w14:val="tx1"/>
            </w14:solidFill>
          </w14:textFill>
        </w:rPr>
        <w:t>"三公"经费</w:t>
      </w:r>
      <w:r>
        <w:rPr>
          <w:rFonts w:hint="eastAsia" w:ascii="仿宋" w:hAnsi="仿宋" w:eastAsia="仿宋" w:cs="仿宋"/>
          <w:bCs/>
          <w:color w:val="000000" w:themeColor="text1"/>
          <w:sz w:val="32"/>
          <w:szCs w:val="32"/>
          <w:lang w:val="en-US" w:eastAsia="zh-CN"/>
          <w14:textFill>
            <w14:solidFill>
              <w14:schemeClr w14:val="tx1"/>
            </w14:solidFill>
          </w14:textFill>
        </w:rPr>
        <w:t>财政拨款</w:t>
      </w:r>
      <w:r>
        <w:rPr>
          <w:rFonts w:hint="eastAsia" w:ascii="仿宋" w:hAnsi="仿宋" w:eastAsia="仿宋" w:cs="仿宋"/>
          <w:bCs/>
          <w:color w:val="000000" w:themeColor="text1"/>
          <w:sz w:val="32"/>
          <w:szCs w:val="32"/>
          <w14:textFill>
            <w14:solidFill>
              <w14:schemeClr w14:val="tx1"/>
            </w14:solidFill>
          </w14:textFill>
        </w:rPr>
        <w:t>安排</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万元，其中：</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因公出国</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万元,比上年增（减）</w:t>
      </w:r>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万元，主要原因是：</w:t>
      </w:r>
      <w:r>
        <w:rPr>
          <w:rFonts w:hint="eastAsia" w:ascii="仿宋" w:hAnsi="仿宋" w:eastAsia="仿宋" w:cs="仿宋"/>
          <w:bCs/>
          <w:color w:val="000000" w:themeColor="text1"/>
          <w:sz w:val="32"/>
          <w:szCs w:val="32"/>
          <w:lang w:eastAsia="zh-CN"/>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14:textFill>
            <w14:solidFill>
              <w14:schemeClr w14:val="tx1"/>
            </w14:solidFill>
          </w14:textFill>
        </w:rPr>
        <w:t>我单位暂无计划</w:t>
      </w:r>
      <w:r>
        <w:rPr>
          <w:rFonts w:hint="eastAsia" w:ascii="仿宋" w:hAnsi="仿宋" w:eastAsia="仿宋" w:cs="仿宋"/>
          <w:bCs/>
          <w:color w:val="000000" w:themeColor="text1"/>
          <w:sz w:val="32"/>
          <w:szCs w:val="32"/>
          <w:lang w:eastAsia="zh-CN"/>
          <w14:textFill>
            <w14:solidFill>
              <w14:schemeClr w14:val="tx1"/>
            </w14:solidFill>
          </w14:textFill>
        </w:rPr>
        <w:t>安排因公出国</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公务接待</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万元,比上年减</w:t>
      </w:r>
      <w:r>
        <w:rPr>
          <w:rFonts w:hint="eastAsia" w:ascii="仿宋" w:hAnsi="仿宋" w:eastAsia="仿宋" w:cs="仿宋"/>
          <w:bCs/>
          <w:color w:val="000000" w:themeColor="text1"/>
          <w:sz w:val="32"/>
          <w:szCs w:val="32"/>
          <w:lang w:val="en-US" w:eastAsia="zh-CN"/>
          <w14:textFill>
            <w14:solidFill>
              <w14:schemeClr w14:val="tx1"/>
            </w14:solidFill>
          </w14:textFill>
        </w:rPr>
        <w:t>14.45</w:t>
      </w:r>
      <w:r>
        <w:rPr>
          <w:rFonts w:hint="eastAsia" w:ascii="仿宋" w:hAnsi="仿宋" w:eastAsia="仿宋" w:cs="仿宋"/>
          <w:bCs/>
          <w:color w:val="000000" w:themeColor="text1"/>
          <w:sz w:val="32"/>
          <w:szCs w:val="32"/>
          <w14:textFill>
            <w14:solidFill>
              <w14:schemeClr w14:val="tx1"/>
            </w14:solidFill>
          </w14:textFill>
        </w:rPr>
        <w:t>万元，主要原因是：保持</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三公</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经费预算不超去年预算</w:t>
      </w:r>
      <w:r>
        <w:rPr>
          <w:rFonts w:hint="eastAsia" w:ascii="仿宋" w:hAnsi="仿宋" w:eastAsia="仿宋" w:cs="仿宋"/>
          <w:bCs/>
          <w:color w:val="000000" w:themeColor="text1"/>
          <w:sz w:val="32"/>
          <w:szCs w:val="32"/>
          <w:lang w:eastAsia="zh-CN"/>
          <w14:textFill>
            <w14:solidFill>
              <w14:schemeClr w14:val="tx1"/>
            </w14:solidFill>
          </w14:textFill>
        </w:rPr>
        <w:t>数，并逐年递减</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公务用车运行</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万元,比上年增（减）</w:t>
      </w:r>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万元，主要原因是：公车改革，我单位未保留公务车辆。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公务用车购置</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万元,比上年增（减）</w:t>
      </w:r>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万元，主要原因是：</w:t>
      </w:r>
      <w:r>
        <w:rPr>
          <w:rFonts w:hint="eastAsia" w:ascii="仿宋" w:hAnsi="仿宋" w:eastAsia="仿宋" w:cs="仿宋"/>
          <w:bCs/>
          <w:color w:val="000000" w:themeColor="text1"/>
          <w:sz w:val="32"/>
          <w:szCs w:val="32"/>
          <w:lang w:eastAsia="zh-CN"/>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14:textFill>
            <w14:solidFill>
              <w14:schemeClr w14:val="tx1"/>
            </w14:solidFill>
          </w14:textFill>
        </w:rPr>
        <w:t>我单位暂无计划购置公务</w:t>
      </w:r>
      <w:r>
        <w:rPr>
          <w:rFonts w:hint="eastAsia" w:ascii="仿宋" w:hAnsi="仿宋" w:eastAsia="仿宋" w:cs="仿宋"/>
          <w:bCs/>
          <w:color w:val="000000" w:themeColor="text1"/>
          <w:sz w:val="32"/>
          <w:szCs w:val="32"/>
          <w:lang w:eastAsia="zh-CN"/>
          <w14:textFill>
            <w14:solidFill>
              <w14:schemeClr w14:val="tx1"/>
            </w14:solidFill>
          </w14:textFill>
        </w:rPr>
        <w:t>用车</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bCs/>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70" w:lineRule="exact"/>
        <w:ind w:firstLine="640" w:firstLineChars="200"/>
        <w:jc w:val="center"/>
        <w:textAlignment w:val="auto"/>
        <w:rPr>
          <w:rFonts w:hint="eastAsia" w:ascii="黑体" w:hAnsi="黑体" w:eastAsia="黑体" w:cs="黑体"/>
          <w:b w:val="0"/>
          <w:bCs/>
          <w:color w:val="333333"/>
          <w:sz w:val="32"/>
          <w:szCs w:val="32"/>
        </w:rPr>
      </w:pPr>
      <w:r>
        <w:rPr>
          <w:rFonts w:hint="eastAsia" w:ascii="黑体" w:hAnsi="黑体" w:eastAsia="黑体" w:cs="黑体"/>
          <w:b w:val="0"/>
          <w:bCs/>
          <w:sz w:val="32"/>
          <w:szCs w:val="32"/>
        </w:rPr>
        <w:t>第四部分   名词解释</w:t>
      </w:r>
    </w:p>
    <w:p>
      <w:pPr>
        <w:keepNext w:val="0"/>
        <w:keepLines w:val="0"/>
        <w:pageBreakBefore w:val="0"/>
        <w:widowControl/>
        <w:shd w:val="clear" w:color="auto" w:fill="FFFFFF"/>
        <w:kinsoku/>
        <w:wordWrap/>
        <w:overflowPunct/>
        <w:topLinePunct w:val="0"/>
        <w:autoSpaceDE/>
        <w:autoSpaceDN/>
        <w:bidi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keepNext w:val="0"/>
        <w:keepLines w:val="0"/>
        <w:pageBreakBefore w:val="0"/>
        <w:widowControl/>
        <w:shd w:val="clear" w:color="auto" w:fill="FFFFFF"/>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单位</w:t>
      </w:r>
      <w:r>
        <w:rPr>
          <w:rFonts w:hint="eastAsia" w:ascii="仿宋" w:hAnsi="仿宋" w:eastAsia="仿宋" w:cs="仿宋"/>
          <w:sz w:val="32"/>
          <w:szCs w:val="32"/>
        </w:rPr>
        <w:t>结合实际进行解释。</w:t>
      </w:r>
    </w:p>
    <w:p>
      <w:pPr>
        <w:keepNext w:val="0"/>
        <w:keepLines w:val="0"/>
        <w:pageBreakBefore w:val="0"/>
        <w:widowControl/>
        <w:numPr>
          <w:ilvl w:val="0"/>
          <w:numId w:val="3"/>
        </w:numP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财政拨款：指</w:t>
      </w:r>
      <w:r>
        <w:rPr>
          <w:rFonts w:hint="eastAsia" w:ascii="仿宋" w:hAnsi="仿宋" w:eastAsia="仿宋" w:cs="仿宋"/>
          <w:color w:val="000000"/>
          <w:sz w:val="32"/>
          <w:szCs w:val="30"/>
          <w:lang w:val="en-US" w:eastAsia="zh-CN"/>
        </w:rPr>
        <w:t>市</w:t>
      </w:r>
      <w:r>
        <w:rPr>
          <w:rFonts w:hint="eastAsia" w:ascii="仿宋" w:hAnsi="仿宋" w:eastAsia="仿宋" w:cs="仿宋"/>
          <w:color w:val="000000"/>
          <w:sz w:val="32"/>
          <w:szCs w:val="30"/>
        </w:rPr>
        <w:t>级财政当年拨付的资金。</w:t>
      </w:r>
    </w:p>
    <w:p>
      <w:pPr>
        <w:keepNext w:val="0"/>
        <w:keepLines w:val="0"/>
        <w:pageBreakBefore w:val="0"/>
        <w:widowControl/>
        <w:numPr>
          <w:ilvl w:val="0"/>
          <w:numId w:val="3"/>
        </w:numP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教育收费资金收入：反映实行专项管理的高中以上学费、住宿费，高校委托培养费，函大、电大、夜大及短训班培训费等教育收费取得的收入。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sz w:val="32"/>
          <w:szCs w:val="32"/>
        </w:rPr>
        <w:t>（三）</w:t>
      </w:r>
      <w:r>
        <w:rPr>
          <w:rFonts w:hint="eastAsia" w:ascii="仿宋" w:hAnsi="仿宋" w:eastAsia="仿宋" w:cs="仿宋"/>
          <w:color w:val="000000"/>
          <w:sz w:val="32"/>
          <w:szCs w:val="30"/>
        </w:rPr>
        <w:t>事业收入：指事业单位开展专业业务活动及辅助活动取得的收入。</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sz w:val="32"/>
          <w:szCs w:val="32"/>
        </w:rPr>
        <w:t>（四）</w:t>
      </w:r>
      <w:r>
        <w:rPr>
          <w:rFonts w:hint="eastAsia" w:ascii="仿宋" w:hAnsi="仿宋" w:eastAsia="仿宋" w:cs="仿宋"/>
          <w:color w:val="000000"/>
          <w:sz w:val="32"/>
          <w:szCs w:val="30"/>
        </w:rPr>
        <w:t>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0"/>
        </w:rPr>
        <w:t>（</w:t>
      </w:r>
      <w:r>
        <w:rPr>
          <w:rFonts w:hint="eastAsia" w:ascii="仿宋" w:hAnsi="仿宋" w:eastAsia="仿宋" w:cs="仿宋"/>
          <w:sz w:val="32"/>
          <w:szCs w:val="32"/>
        </w:rPr>
        <w:t>五）</w:t>
      </w:r>
      <w:r>
        <w:rPr>
          <w:rFonts w:hint="eastAsia" w:ascii="仿宋" w:hAnsi="仿宋" w:eastAsia="仿宋" w:cs="仿宋"/>
          <w:color w:val="000000"/>
          <w:sz w:val="32"/>
          <w:szCs w:val="30"/>
        </w:rPr>
        <w:t>附属单位上缴收入：反映事业单位附属的独立核算单位按规定标准或比例缴纳的各项收入。包括附属的事业单位上缴的收入和附属的企业上缴的利润等。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sz w:val="32"/>
          <w:szCs w:val="32"/>
        </w:rPr>
        <w:t>（六）</w:t>
      </w:r>
      <w:r>
        <w:rPr>
          <w:rFonts w:hint="eastAsia" w:ascii="仿宋" w:hAnsi="仿宋" w:eastAsia="仿宋" w:cs="仿宋"/>
          <w:color w:val="000000"/>
          <w:sz w:val="32"/>
          <w:szCs w:val="30"/>
        </w:rPr>
        <w:t>上级补助收入：反映事业单位从主管部门和上级单位取得的非财政补助收入。</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sz w:val="32"/>
          <w:szCs w:val="32"/>
        </w:rPr>
        <w:t>（七）</w:t>
      </w:r>
      <w:r>
        <w:rPr>
          <w:rFonts w:hint="eastAsia" w:ascii="仿宋" w:hAnsi="仿宋" w:eastAsia="仿宋" w:cs="仿宋"/>
          <w:color w:val="000000"/>
          <w:sz w:val="32"/>
          <w:szCs w:val="30"/>
        </w:rPr>
        <w:t>其他收入：指除财政拨款、事业收入、事业单位经营收入等以外的各项收入。</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sz w:val="32"/>
          <w:szCs w:val="32"/>
        </w:rPr>
        <w:t>（八）</w:t>
      </w:r>
      <w:r>
        <w:rPr>
          <w:rFonts w:hint="eastAsia" w:ascii="仿宋" w:hAnsi="仿宋" w:eastAsia="仿宋" w:cs="仿宋"/>
          <w:color w:val="000000"/>
          <w:sz w:val="32"/>
          <w:szCs w:val="30"/>
        </w:rPr>
        <w:t>使用非财政拨款结余：填列历年滚存的非限定用途的非统计财政拨款结余弥补</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年收支差额的数额。</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sz w:val="32"/>
          <w:szCs w:val="32"/>
        </w:rPr>
        <w:t>（九）</w:t>
      </w:r>
      <w:r>
        <w:rPr>
          <w:rFonts w:hint="eastAsia" w:ascii="仿宋" w:hAnsi="仿宋" w:eastAsia="仿宋" w:cs="仿宋"/>
          <w:color w:val="000000"/>
          <w:sz w:val="32"/>
          <w:szCs w:val="30"/>
        </w:rPr>
        <w:t>上年结转和结余：填列202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相关</w:t>
      </w:r>
      <w:r>
        <w:rPr>
          <w:rFonts w:hint="eastAsia" w:ascii="黑体" w:hAnsi="黑体" w:eastAsia="黑体" w:cs="黑体"/>
          <w:b w:val="0"/>
          <w:bCs w:val="0"/>
          <w:sz w:val="32"/>
          <w:szCs w:val="32"/>
        </w:rPr>
        <w:t>专业名词</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keepNext w:val="0"/>
        <w:keepLines w:val="0"/>
        <w:pageBreakBefore w:val="0"/>
        <w:widowControl/>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570" w:lineRule="exact"/>
        <w:ind w:right="449" w:rightChars="214"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70" w:lineRule="exact"/>
        <w:ind w:firstLine="420" w:firstLineChars="200"/>
        <w:jc w:val="both"/>
        <w:textAlignment w:val="auto"/>
        <w:rPr>
          <w:rFonts w:hint="eastAsia" w:ascii="仿宋" w:hAnsi="仿宋" w:eastAsia="仿宋" w:cs="仿宋"/>
        </w:rPr>
      </w:pPr>
    </w:p>
    <w:sectPr>
      <w:headerReference r:id="rId3" w:type="default"/>
      <w:footerReference r:id="rId4" w:type="default"/>
      <w:footerReference r:id="rId5" w:type="even"/>
      <w:pgSz w:w="11906" w:h="16838"/>
      <w:pgMar w:top="1701" w:right="1797" w:bottom="1701" w:left="1797"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4594860</wp:posOffset>
              </wp:positionH>
              <wp:positionV relativeFrom="paragraph">
                <wp:posOffset>-193040</wp:posOffset>
              </wp:positionV>
              <wp:extent cx="991235" cy="5111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1235" cy="511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1.8pt;margin-top:-15.2pt;height:40.25pt;width:78.05pt;mso-position-horizontal-relative:margin;z-index:251659264;mso-width-relative:page;mso-height-relative:page;" filled="f" stroked="f" coordsize="21600,21600" o:gfxdata="UEsDBAoAAAAAAIdO4kAAAAAAAAAAAAAAAAAEAAAAZHJzL1BLAwQUAAAACACHTuJAe45BJ9oAAAAK&#10;AQAADwAAAGRycy9kb3ducmV2LnhtbE2Py07DMBBF90j8gzVI7Fo7LTQlZNIFjx3Ptkiwc2KTRNjj&#10;yHbS8veYFSxH9+jeM+XmaA2btA+9I4RsLoBpapzqqUXY7+5na2AhSlLSONII3zrApjo9KWWh3IFe&#10;9bSNLUslFAqJ0MU4FJyHptNWhrkbNKXs03krYzp9y5WXh1RuDV8IseJW9pQWOjnom043X9vRIpj3&#10;4B9qET+m2/Yxvjzz8e0ue0I8P8vENbCoj/EPhl/9pA5VcqrdSCowg5AvlquEIsyW4gJYItb5VQ6s&#10;RrgUGfCq5P9fqH4AUEsDBBQAAAAIAIdO4kB+PIcVOAIAAGEEAAAOAAAAZHJzL2Uyb0RvYy54bWyt&#10;VM2O0zAQviPxDpbvNM2uurBR01XZqgipYlcqiLPrOI0l22Nsp0l5AHgDTnvhznP1ORjnp4sWDnvg&#10;4k5mxjPzffO585tWK3IQzkswOU0nU0qE4VBIs8/pp4/rV28o8YGZgikwIqdH4enN4uWLeWMzcQEV&#10;qEI4gkWMzxqb0yoEmyWJ55XQzE/ACoPBEpxmAT/dPikca7C6VsnFdHqVNOAK64AL79G76oN0qOie&#10;UxDKUnKxAl5rYUJf1QnFAkLylbSeLrppy1LwcFeWXgSicopIQ3diE7R38UwWc5btHbOV5MMI7Dkj&#10;PMGkmTTY9FxqxQIjtZN/ldKSO/BQhgkHnfRAOkYQRTp9ws22YlZ0WJBqb8+k+/9Xln843DsiC1QC&#10;JYZpXPjpx/fTw6/Tz28kjfQ01meYtbWYF9q30MbUwe/RGVG3pdPxF/EQjCO5xzO5og2Eo/P6Or24&#10;nFHCMTRL0/T1LFZJHi9b58M7AZpEI6cOd9dRyg4bH/rUMSX2MrCWSqGfZcqQJqdXl7Npd+EcweLK&#10;YI8IoR81WqHdtcP8OyiOCMtBrwtv+Vpi8w3z4Z45FAIiwacS7vAoFWATGCxKKnBf/+WP+bgfjFLS&#10;oLBy6r/UzAlK1HuDm4sqHA03GrvRMLW+BdQqbgOn6Uy84IIazdKB/owvaBm7YIgZjr1yGkbzNvTy&#10;xhfIxXLZJdXWyX3VX0DdWRY2Zmt5bNNTuawDlLJjOVLU8zIwh8rr9jS8kijtP7+7rMd/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45BJ9oAAAAKAQAADwAAAAAAAAABACAAAAAiAAAAZHJzL2Rv&#10;d25yZXYueG1sUEsBAhQAFAAAAAgAh07iQH48hxU4AgAAYQQAAA4AAAAAAAAAAQAgAAAAKQEAAGRy&#10;cy9lMm9Eb2MueG1sUEsFBgAAAAAGAAYAWQEAANM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F861D"/>
    <w:multiLevelType w:val="singleLevel"/>
    <w:tmpl w:val="B8BF861D"/>
    <w:lvl w:ilvl="0" w:tentative="0">
      <w:start w:val="2"/>
      <w:numFmt w:val="decimal"/>
      <w:suff w:val="nothing"/>
      <w:lvlText w:val="（%1）"/>
      <w:lvlJc w:val="left"/>
      <w:pPr>
        <w:ind w:left="802" w:leftChars="0" w:firstLine="0" w:firstLineChars="0"/>
      </w:p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abstractNum w:abstractNumId="2">
    <w:nsid w:val="7AD5FE52"/>
    <w:multiLevelType w:val="singleLevel"/>
    <w:tmpl w:val="7AD5FE52"/>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ZDJhYzJmMjI2NDc1Nzg3N2QzMjNhYTM0N2MxYmIifQ=="/>
  </w:docVars>
  <w:rsids>
    <w:rsidRoot w:val="216B3C95"/>
    <w:rsid w:val="013C6E0F"/>
    <w:rsid w:val="02BF15A4"/>
    <w:rsid w:val="03C13F39"/>
    <w:rsid w:val="06144667"/>
    <w:rsid w:val="07821A66"/>
    <w:rsid w:val="09655CC6"/>
    <w:rsid w:val="0A0B7362"/>
    <w:rsid w:val="0A2F7010"/>
    <w:rsid w:val="0AC61007"/>
    <w:rsid w:val="0F6E0241"/>
    <w:rsid w:val="107E71A5"/>
    <w:rsid w:val="10F46BA2"/>
    <w:rsid w:val="1190319C"/>
    <w:rsid w:val="13215AF6"/>
    <w:rsid w:val="172F61EF"/>
    <w:rsid w:val="186F3018"/>
    <w:rsid w:val="189B6489"/>
    <w:rsid w:val="189E6FDE"/>
    <w:rsid w:val="1AB54F4E"/>
    <w:rsid w:val="1AF75E81"/>
    <w:rsid w:val="1B7A20B5"/>
    <w:rsid w:val="1BD23C9F"/>
    <w:rsid w:val="1C82401A"/>
    <w:rsid w:val="1DAA17BA"/>
    <w:rsid w:val="202B4241"/>
    <w:rsid w:val="216B3C95"/>
    <w:rsid w:val="23286BD8"/>
    <w:rsid w:val="23AB4C02"/>
    <w:rsid w:val="23FA3FAD"/>
    <w:rsid w:val="24EA7087"/>
    <w:rsid w:val="25441419"/>
    <w:rsid w:val="25F956FD"/>
    <w:rsid w:val="277A2F30"/>
    <w:rsid w:val="29B80978"/>
    <w:rsid w:val="2D0619FA"/>
    <w:rsid w:val="2D971A85"/>
    <w:rsid w:val="2DAC4443"/>
    <w:rsid w:val="3183483E"/>
    <w:rsid w:val="32E0150F"/>
    <w:rsid w:val="359D6368"/>
    <w:rsid w:val="36AA0E0B"/>
    <w:rsid w:val="38A30A45"/>
    <w:rsid w:val="3B484B18"/>
    <w:rsid w:val="3F8A2AD8"/>
    <w:rsid w:val="44FC7513"/>
    <w:rsid w:val="47875C74"/>
    <w:rsid w:val="4A1B48DF"/>
    <w:rsid w:val="4A9D52F4"/>
    <w:rsid w:val="4AF44538"/>
    <w:rsid w:val="4F0C6E4A"/>
    <w:rsid w:val="551B5565"/>
    <w:rsid w:val="56101070"/>
    <w:rsid w:val="582D22F2"/>
    <w:rsid w:val="58943924"/>
    <w:rsid w:val="5A99583D"/>
    <w:rsid w:val="5EF77649"/>
    <w:rsid w:val="61DF5D99"/>
    <w:rsid w:val="63A97A60"/>
    <w:rsid w:val="64C25C2B"/>
    <w:rsid w:val="653C3970"/>
    <w:rsid w:val="666D7E19"/>
    <w:rsid w:val="678371C8"/>
    <w:rsid w:val="6A7E0847"/>
    <w:rsid w:val="6B3B6738"/>
    <w:rsid w:val="6B3C5494"/>
    <w:rsid w:val="6B614B75"/>
    <w:rsid w:val="6F972935"/>
    <w:rsid w:val="700E7085"/>
    <w:rsid w:val="718C20D0"/>
    <w:rsid w:val="723A0FF5"/>
    <w:rsid w:val="73310977"/>
    <w:rsid w:val="733F28AB"/>
    <w:rsid w:val="76EF34E6"/>
    <w:rsid w:val="794919BE"/>
    <w:rsid w:val="796B4CD4"/>
    <w:rsid w:val="798E5772"/>
    <w:rsid w:val="79C22100"/>
    <w:rsid w:val="7CB41181"/>
    <w:rsid w:val="7D3C168D"/>
    <w:rsid w:val="7E4E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4339</Words>
  <Characters>4679</Characters>
  <Lines>0</Lines>
  <Paragraphs>0</Paragraphs>
  <TotalTime>3</TotalTime>
  <ScaleCrop>false</ScaleCrop>
  <LinksUpToDate>false</LinksUpToDate>
  <CharactersWithSpaces>4796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dcterms:modified xsi:type="dcterms:W3CDTF">2023-03-09T02:47:09Z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6177370B57F84BC9B45CB4B3B960D8B1</vt:lpwstr>
  </property>
</Properties>
</file>